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4Heading1"/>
        <w:spacing w:after="120"/>
      </w:pPr>
      <w:r>
        <w:t>Abbreviations in education</w:t>
      </w:r>
    </w:p>
    <w:p>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172200" cy="0"/>
                <wp:effectExtent l="7620" t="10160" r="11430" b="8890"/>
                <wp:wrapNone/>
                <wp:docPr id="200287283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12263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E36573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" strokecolor="#12263f" strokeweight="1pt">
                <v:stroke joinstyle="miter"/>
              </v:line>
            </w:pict>
          </mc:Fallback>
        </mc:AlternateConten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28"/>
        <w:gridCol w:w="7100"/>
      </w:tblGrid>
      <w:tr>
        <w:trPr>
          <w:cantSplit/>
          <w:tblHeader/>
        </w:trPr>
        <w:tc>
          <w:tcPr>
            <w:tcW w:w="2528"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pPr>
              <w:rPr>
                <w:caps/>
                <w:color w:val="F8F8F8"/>
              </w:rPr>
            </w:pPr>
            <w:r>
              <w:rPr>
                <w:caps/>
                <w:color w:val="F8F8F8"/>
              </w:rPr>
              <w:t>Term</w:t>
            </w:r>
          </w:p>
        </w:tc>
        <w:tc>
          <w:tcPr>
            <w:tcW w:w="7100"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pPr>
              <w:rPr>
                <w:caps/>
                <w:color w:val="F8F8F8"/>
              </w:rPr>
            </w:pPr>
            <w:r>
              <w:rPr>
                <w:caps/>
                <w:color w:val="F8F8F8"/>
              </w:rPr>
              <w:t>definition</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t>AP</w:t>
            </w:r>
          </w:p>
        </w:tc>
        <w:tc>
          <w:tcPr>
            <w:tcW w:w="7100" w:type="dxa"/>
            <w:shd w:val="clear" w:color="auto" w:fill="auto"/>
            <w:tcMar>
              <w:top w:w="113" w:type="dxa"/>
              <w:bottom w:w="113" w:type="dxa"/>
            </w:tcMar>
          </w:tcPr>
          <w:p>
            <w:pPr>
              <w:pStyle w:val="Text"/>
              <w:rPr>
                <w:lang w:val="en-GB"/>
              </w:rPr>
            </w:pPr>
            <w:r>
              <w:rPr>
                <w:color w:val="13263F"/>
                <w:shd w:val="clear" w:color="auto" w:fill="FFFFFF"/>
              </w:rPr>
              <w:t>Alternative provision.</w:t>
            </w:r>
            <w:r>
              <w:rPr>
                <w:color w:val="13263F"/>
              </w:rPr>
              <w:br/>
            </w:r>
            <w:r>
              <w:rPr>
                <w:color w:val="13263F"/>
              </w:rPr>
              <w:br/>
            </w:r>
            <w:r>
              <w:rPr>
                <w:color w:val="13263F"/>
                <w:shd w:val="clear" w:color="auto" w:fill="FFFFFF"/>
              </w:rPr>
              <w:t>Settings that cater specifically for pupils who are unable to attend mainstream school due to exclusion, illness or other reasons.</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t>ASP</w:t>
            </w:r>
          </w:p>
        </w:tc>
        <w:tc>
          <w:tcPr>
            <w:tcW w:w="7100" w:type="dxa"/>
            <w:shd w:val="clear" w:color="auto" w:fill="auto"/>
            <w:tcMar>
              <w:top w:w="113" w:type="dxa"/>
              <w:bottom w:w="113" w:type="dxa"/>
            </w:tcMar>
          </w:tcPr>
          <w:p>
            <w:pPr>
              <w:pStyle w:val="Text"/>
              <w:rPr>
                <w:lang w:val="en-GB"/>
              </w:rPr>
            </w:pPr>
            <w:proofErr w:type="spellStart"/>
            <w:r>
              <w:rPr>
                <w:color w:val="13263F"/>
                <w:shd w:val="clear" w:color="auto" w:fill="FFFFFF"/>
              </w:rPr>
              <w:t>Analyse</w:t>
            </w:r>
            <w:proofErr w:type="spellEnd"/>
            <w:r>
              <w:rPr>
                <w:color w:val="13263F"/>
                <w:shd w:val="clear" w:color="auto" w:fill="FFFFFF"/>
              </w:rPr>
              <w:t xml:space="preserve"> school performance.</w:t>
            </w:r>
            <w:r>
              <w:rPr>
                <w:color w:val="13263F"/>
                <w:shd w:val="clear" w:color="auto" w:fill="FFFFFF"/>
              </w:rPr>
              <w:br/>
            </w:r>
          </w:p>
          <w:p>
            <w:pPr>
              <w:pStyle w:val="Text"/>
              <w:rPr>
                <w:lang w:val="en-GB"/>
              </w:rPr>
            </w:pPr>
            <w:r>
              <w:rPr>
                <w:color w:val="13263F"/>
                <w:shd w:val="clear" w:color="auto" w:fill="FFFFFF"/>
              </w:rPr>
              <w:t>An online tool that helps schools compare their pupils' results and progress with similar schools nationally.</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t>CAMHS</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Child and Adolescent Mental Health Services.</w:t>
            </w:r>
          </w:p>
          <w:p>
            <w:pPr>
              <w:pStyle w:val="NormalWeb"/>
              <w:shd w:val="clear" w:color="auto" w:fill="FFFFFF"/>
              <w:rPr>
                <w:rFonts w:ascii="Arial" w:hAnsi="Arial" w:cs="Arial"/>
                <w:color w:val="13263F"/>
                <w:sz w:val="20"/>
                <w:szCs w:val="20"/>
              </w:rPr>
            </w:pPr>
            <w:r>
              <w:rPr>
                <w:rFonts w:ascii="Arial" w:hAnsi="Arial" w:cs="Arial"/>
                <w:color w:val="13263F"/>
                <w:sz w:val="20"/>
                <w:szCs w:val="20"/>
              </w:rPr>
              <w:t>Provides support and treatment for young people with mental health difficulties.</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t>CME</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Children missing education.</w:t>
            </w:r>
          </w:p>
          <w:p>
            <w:pPr>
              <w:pStyle w:val="NormalWeb"/>
              <w:shd w:val="clear" w:color="auto" w:fill="FFFFFF"/>
              <w:rPr>
                <w:rFonts w:ascii="Arial" w:hAnsi="Arial" w:cs="Arial"/>
                <w:color w:val="13263F"/>
                <w:sz w:val="20"/>
                <w:szCs w:val="20"/>
              </w:rPr>
            </w:pPr>
            <w:r>
              <w:rPr>
                <w:rFonts w:ascii="Arial" w:hAnsi="Arial" w:cs="Arial"/>
                <w:color w:val="13263F"/>
                <w:sz w:val="20"/>
                <w:szCs w:val="20"/>
              </w:rPr>
              <w:t>Children of compulsory school age who are not registered at a school and are not receiving suitable education otherwise than at a school.</w:t>
            </w:r>
          </w:p>
        </w:tc>
      </w:tr>
      <w:tr>
        <w:trPr>
          <w:cantSplit/>
        </w:trPr>
        <w:tc>
          <w:tcPr>
            <w:tcW w:w="2528" w:type="dxa"/>
            <w:shd w:val="clear" w:color="auto" w:fill="auto"/>
            <w:tcMar>
              <w:top w:w="113" w:type="dxa"/>
              <w:bottom w:w="113" w:type="dxa"/>
            </w:tcMar>
          </w:tcPr>
          <w:p>
            <w:pPr>
              <w:pStyle w:val="7Tablebodycopy"/>
              <w:rPr>
                <w:rFonts w:cs="Arial"/>
                <w:szCs w:val="20"/>
              </w:rPr>
            </w:pPr>
            <w:r>
              <w:rPr>
                <w:rFonts w:cs="Arial"/>
                <w:color w:val="13263F"/>
                <w:szCs w:val="20"/>
                <w:shd w:val="clear" w:color="auto" w:fill="FFFFFF"/>
              </w:rPr>
              <w:t>CPD</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Continuing professional development.</w:t>
            </w:r>
          </w:p>
          <w:p>
            <w:pPr>
              <w:pStyle w:val="NormalWeb"/>
              <w:shd w:val="clear" w:color="auto" w:fill="FFFFFF"/>
              <w:rPr>
                <w:rFonts w:ascii="Arial" w:hAnsi="Arial" w:cs="Arial"/>
                <w:color w:val="13263F"/>
                <w:sz w:val="20"/>
                <w:szCs w:val="20"/>
              </w:rPr>
            </w:pPr>
            <w:r>
              <w:rPr>
                <w:rFonts w:ascii="Arial" w:hAnsi="Arial" w:cs="Arial"/>
                <w:color w:val="13263F"/>
                <w:sz w:val="20"/>
                <w:szCs w:val="20"/>
              </w:rPr>
              <w:t>The ongoing training and learning activities that staff undertake to improve their skills and knowledge.</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t>DBS</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Disclosure and Barring Service.</w:t>
            </w:r>
          </w:p>
          <w:p>
            <w:pPr>
              <w:pStyle w:val="NormalWeb"/>
              <w:shd w:val="clear" w:color="auto" w:fill="FFFFFF"/>
              <w:rPr>
                <w:rStyle w:val="Strong"/>
                <w:rFonts w:ascii="Arial" w:hAnsi="Arial" w:cs="Arial"/>
                <w:b w:val="0"/>
                <w:bCs w:val="0"/>
                <w:color w:val="13263F"/>
                <w:sz w:val="20"/>
                <w:szCs w:val="20"/>
              </w:rPr>
            </w:pPr>
            <w:r>
              <w:rPr>
                <w:rFonts w:ascii="Arial" w:hAnsi="Arial" w:cs="Arial"/>
                <w:color w:val="13263F"/>
                <w:sz w:val="20"/>
                <w:szCs w:val="20"/>
              </w:rPr>
              <w:t>A public body that carries out checks on individuals to make sure they’re suitable to work with children and vulnerable adults.</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t>DPO</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Data protection officer.</w:t>
            </w:r>
          </w:p>
          <w:p>
            <w:pPr>
              <w:pStyle w:val="NormalWeb"/>
              <w:shd w:val="clear" w:color="auto" w:fill="FFFFFF"/>
              <w:rPr>
                <w:rFonts w:ascii="Arial" w:hAnsi="Arial" w:cs="Arial"/>
                <w:color w:val="13263F"/>
                <w:sz w:val="20"/>
                <w:szCs w:val="20"/>
              </w:rPr>
            </w:pPr>
            <w:r>
              <w:rPr>
                <w:rFonts w:ascii="Arial" w:hAnsi="Arial" w:cs="Arial"/>
                <w:color w:val="13263F"/>
                <w:sz w:val="20"/>
                <w:szCs w:val="20"/>
              </w:rPr>
              <w:t>The person in your school, or an external data protection adviser, who takes responsibility for monitoring data protection compliance.</w:t>
            </w:r>
          </w:p>
        </w:tc>
      </w:tr>
      <w:tr>
        <w:trPr>
          <w:cantSplit/>
        </w:trPr>
        <w:tc>
          <w:tcPr>
            <w:tcW w:w="2528" w:type="dxa"/>
            <w:shd w:val="clear" w:color="auto" w:fill="auto"/>
            <w:tcMar>
              <w:top w:w="113" w:type="dxa"/>
              <w:bottom w:w="113" w:type="dxa"/>
            </w:tcMar>
          </w:tcPr>
          <w:p>
            <w:pPr>
              <w:pStyle w:val="Text"/>
              <w:rPr>
                <w:lang w:val="en-GB"/>
              </w:rPr>
            </w:pPr>
            <w:hyperlink r:id="rId8" w:history="1">
              <w:r>
                <w:rPr>
                  <w:rStyle w:val="Hyperlink"/>
                  <w:shd w:val="clear" w:color="auto" w:fill="FFFFFF"/>
                </w:rPr>
                <w:t>DSL/ DDSL</w:t>
              </w:r>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Designated safeguarding lead/ deputy designated safeguarding lead.</w:t>
            </w:r>
          </w:p>
          <w:p>
            <w:pPr>
              <w:pStyle w:val="NormalWeb"/>
              <w:shd w:val="clear" w:color="auto" w:fill="FFFFFF"/>
              <w:rPr>
                <w:rFonts w:ascii="Arial" w:hAnsi="Arial" w:cs="Arial"/>
                <w:color w:val="13263F"/>
                <w:sz w:val="20"/>
                <w:szCs w:val="20"/>
              </w:rPr>
            </w:pPr>
            <w:r>
              <w:rPr>
                <w:rFonts w:ascii="Arial" w:hAnsi="Arial" w:cs="Arial"/>
                <w:color w:val="13263F"/>
                <w:sz w:val="20"/>
                <w:szCs w:val="20"/>
              </w:rPr>
              <w:t xml:space="preserve">This role must be held by a senior member of staff in every school. They're responsible for safeguarding and child protection and support other staff members to carry out their own safeguarding </w:t>
            </w:r>
            <w:bookmarkStart w:id="0" w:name="_GoBack"/>
            <w:bookmarkEnd w:id="0"/>
            <w:r>
              <w:rPr>
                <w:rFonts w:ascii="Arial" w:hAnsi="Arial" w:cs="Arial"/>
                <w:color w:val="13263F"/>
                <w:sz w:val="20"/>
                <w:szCs w:val="20"/>
              </w:rPr>
              <w:t>duties.</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t>EAL</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English as an additional language.</w:t>
            </w:r>
          </w:p>
          <w:p>
            <w:pPr>
              <w:pStyle w:val="NormalWeb"/>
              <w:shd w:val="clear" w:color="auto" w:fill="FFFFFF"/>
              <w:rPr>
                <w:rFonts w:ascii="Arial" w:hAnsi="Arial" w:cs="Arial"/>
                <w:color w:val="13263F"/>
                <w:sz w:val="20"/>
                <w:szCs w:val="20"/>
              </w:rPr>
            </w:pPr>
            <w:r>
              <w:rPr>
                <w:rFonts w:ascii="Arial" w:hAnsi="Arial" w:cs="Arial"/>
                <w:color w:val="13263F"/>
                <w:sz w:val="20"/>
                <w:szCs w:val="20"/>
              </w:rPr>
              <w:t>Where a pupil's first language is not English, or more than 1 language is spoken in their home.</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lastRenderedPageBreak/>
              <w:t>EBacc</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English Baccalaureate.</w:t>
            </w:r>
          </w:p>
          <w:p>
            <w:pPr>
              <w:pStyle w:val="NormalWeb"/>
              <w:shd w:val="clear" w:color="auto" w:fill="FFFFFF"/>
              <w:rPr>
                <w:rFonts w:ascii="Arial" w:hAnsi="Arial" w:cs="Arial"/>
                <w:color w:val="13263F"/>
                <w:sz w:val="20"/>
                <w:szCs w:val="20"/>
              </w:rPr>
            </w:pPr>
            <w:r>
              <w:rPr>
                <w:rFonts w:ascii="Arial" w:hAnsi="Arial" w:cs="Arial"/>
                <w:color w:val="13263F"/>
                <w:sz w:val="20"/>
                <w:szCs w:val="20"/>
              </w:rPr>
              <w:t xml:space="preserve">A performance measure in secondary schools based on the number of pupils who are entered for qualifications in English, maths, sciences, a language and either geography or history. Schools are also measured on how well pupils do in these subjects. </w:t>
            </w:r>
          </w:p>
        </w:tc>
      </w:tr>
      <w:tr>
        <w:trPr>
          <w:cantSplit/>
        </w:trPr>
        <w:tc>
          <w:tcPr>
            <w:tcW w:w="2528" w:type="dxa"/>
            <w:shd w:val="clear" w:color="auto" w:fill="auto"/>
            <w:tcMar>
              <w:top w:w="113" w:type="dxa"/>
              <w:bottom w:w="113" w:type="dxa"/>
            </w:tcMar>
          </w:tcPr>
          <w:p>
            <w:pPr>
              <w:pStyle w:val="Text"/>
              <w:rPr>
                <w:lang w:val="en-GB"/>
              </w:rPr>
            </w:pPr>
            <w:hyperlink r:id="rId9" w:history="1">
              <w:r>
                <w:rPr>
                  <w:rStyle w:val="Hyperlink"/>
                  <w:shd w:val="clear" w:color="auto" w:fill="FFFFFF"/>
                </w:rPr>
                <w:t>ECT</w:t>
              </w:r>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Early career teacher.</w:t>
            </w:r>
          </w:p>
          <w:p>
            <w:pPr>
              <w:pStyle w:val="NormalWeb"/>
              <w:shd w:val="clear" w:color="auto" w:fill="FFFFFF"/>
              <w:rPr>
                <w:rFonts w:ascii="Arial" w:hAnsi="Arial" w:cs="Arial"/>
                <w:color w:val="13263F"/>
                <w:sz w:val="20"/>
                <w:szCs w:val="20"/>
              </w:rPr>
            </w:pPr>
            <w:r>
              <w:rPr>
                <w:rFonts w:ascii="Arial" w:hAnsi="Arial" w:cs="Arial"/>
                <w:color w:val="13263F"/>
                <w:sz w:val="20"/>
                <w:szCs w:val="20"/>
              </w:rPr>
              <w:t>Teachers taking part in a 2-year early career induction provided by your school(s). They have a reduced teaching timetable during this time.</w:t>
            </w:r>
          </w:p>
        </w:tc>
      </w:tr>
      <w:tr>
        <w:trPr>
          <w:cantSplit/>
        </w:trPr>
        <w:tc>
          <w:tcPr>
            <w:tcW w:w="2528" w:type="dxa"/>
            <w:shd w:val="clear" w:color="auto" w:fill="auto"/>
            <w:tcMar>
              <w:top w:w="113" w:type="dxa"/>
              <w:bottom w:w="113" w:type="dxa"/>
            </w:tcMar>
          </w:tcPr>
          <w:p>
            <w:pPr>
              <w:pStyle w:val="Text"/>
              <w:rPr>
                <w:lang w:val="en-GB"/>
              </w:rPr>
            </w:pPr>
            <w:hyperlink r:id="rId10" w:history="1">
              <w:r>
                <w:rPr>
                  <w:rStyle w:val="Hyperlink"/>
                  <w:shd w:val="clear" w:color="auto" w:fill="FFFFFF"/>
                </w:rPr>
                <w:t>EGM</w:t>
              </w:r>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Extraordinary general meeting.</w:t>
            </w:r>
          </w:p>
          <w:p>
            <w:pPr>
              <w:pStyle w:val="NormalWeb"/>
              <w:shd w:val="clear" w:color="auto" w:fill="FFFFFF"/>
              <w:rPr>
                <w:rFonts w:ascii="Arial" w:hAnsi="Arial" w:cs="Arial"/>
                <w:color w:val="13263F"/>
                <w:sz w:val="20"/>
                <w:szCs w:val="20"/>
              </w:rPr>
            </w:pPr>
            <w:r>
              <w:rPr>
                <w:rFonts w:ascii="Arial" w:hAnsi="Arial" w:cs="Arial"/>
                <w:color w:val="13263F"/>
                <w:sz w:val="20"/>
                <w:szCs w:val="20"/>
              </w:rPr>
              <w:t>A meeting convened outside of the normal schedule, usually to discuss urgent matters that can't wait until the next scheduled meeting.</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t>EHC plan (or EHCP)</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Education, health and care plan.</w:t>
            </w:r>
          </w:p>
          <w:p>
            <w:pPr>
              <w:pStyle w:val="NormalWeb"/>
              <w:shd w:val="clear" w:color="auto" w:fill="FFFFFF"/>
              <w:rPr>
                <w:rFonts w:ascii="Arial" w:hAnsi="Arial" w:cs="Arial"/>
                <w:color w:val="13263F"/>
                <w:sz w:val="20"/>
                <w:szCs w:val="20"/>
              </w:rPr>
            </w:pPr>
            <w:r>
              <w:rPr>
                <w:rFonts w:ascii="Arial" w:hAnsi="Arial" w:cs="Arial"/>
                <w:color w:val="13263F"/>
                <w:sz w:val="20"/>
                <w:szCs w:val="20"/>
              </w:rPr>
              <w:t>A statutory document drawn up by the local authority, setting out the education, health and social care support to be provided to a child or young person with SEN or a disability.</w:t>
            </w:r>
          </w:p>
        </w:tc>
      </w:tr>
      <w:tr>
        <w:trPr>
          <w:cantSplit/>
        </w:trPr>
        <w:tc>
          <w:tcPr>
            <w:tcW w:w="2528" w:type="dxa"/>
            <w:shd w:val="clear" w:color="auto" w:fill="auto"/>
            <w:tcMar>
              <w:top w:w="113" w:type="dxa"/>
              <w:bottom w:w="113" w:type="dxa"/>
            </w:tcMar>
          </w:tcPr>
          <w:p>
            <w:pPr>
              <w:pStyle w:val="7Tablebodycopy"/>
              <w:rPr>
                <w:rFonts w:cs="Arial"/>
                <w:szCs w:val="20"/>
              </w:rPr>
            </w:pPr>
            <w:r>
              <w:rPr>
                <w:rFonts w:cs="Arial"/>
                <w:color w:val="13263F"/>
                <w:szCs w:val="20"/>
                <w:shd w:val="clear" w:color="auto" w:fill="FFFFFF"/>
              </w:rPr>
              <w:t>ELSA</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Emotional literacy support assistant.</w:t>
            </w:r>
          </w:p>
          <w:p>
            <w:pPr>
              <w:pStyle w:val="NormalWeb"/>
              <w:shd w:val="clear" w:color="auto" w:fill="FFFFFF"/>
              <w:rPr>
                <w:rFonts w:ascii="Arial" w:hAnsi="Arial" w:cs="Arial"/>
                <w:color w:val="13263F"/>
                <w:sz w:val="20"/>
                <w:szCs w:val="20"/>
              </w:rPr>
            </w:pPr>
            <w:r>
              <w:rPr>
                <w:rFonts w:ascii="Arial" w:hAnsi="Arial" w:cs="Arial"/>
                <w:color w:val="13263F"/>
                <w:sz w:val="20"/>
                <w:szCs w:val="20"/>
              </w:rPr>
              <w:t>A trained member of staff who provides emotional and social support to pupils.</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t>EP</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Educational psychologist.</w:t>
            </w:r>
          </w:p>
          <w:p>
            <w:pPr>
              <w:pStyle w:val="NormalWeb"/>
              <w:shd w:val="clear" w:color="auto" w:fill="FFFFFF"/>
              <w:rPr>
                <w:rFonts w:ascii="Arial" w:hAnsi="Arial" w:cs="Arial"/>
                <w:color w:val="13263F"/>
                <w:sz w:val="20"/>
                <w:szCs w:val="20"/>
              </w:rPr>
            </w:pPr>
            <w:r>
              <w:rPr>
                <w:rFonts w:ascii="Arial" w:hAnsi="Arial" w:cs="Arial"/>
                <w:color w:val="13263F"/>
                <w:sz w:val="20"/>
                <w:szCs w:val="20"/>
              </w:rPr>
              <w:t>Trained psychologists who specialise in child development and will visit schools to assess specific pupils.</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t>EYFS</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Early Years Foundation Stage.</w:t>
            </w:r>
          </w:p>
          <w:p>
            <w:pPr>
              <w:pStyle w:val="NormalWeb"/>
              <w:shd w:val="clear" w:color="auto" w:fill="FFFFFF"/>
              <w:rPr>
                <w:rFonts w:ascii="Arial" w:hAnsi="Arial" w:cs="Arial"/>
                <w:color w:val="13263F"/>
                <w:sz w:val="20"/>
                <w:szCs w:val="20"/>
              </w:rPr>
            </w:pPr>
            <w:r>
              <w:rPr>
                <w:rFonts w:ascii="Arial" w:hAnsi="Arial" w:cs="Arial"/>
                <w:color w:val="13263F"/>
                <w:sz w:val="20"/>
                <w:szCs w:val="20"/>
              </w:rPr>
              <w:t xml:space="preserve">The statutory framework for all early </w:t>
            </w:r>
            <w:proofErr w:type="gramStart"/>
            <w:r>
              <w:rPr>
                <w:rFonts w:ascii="Arial" w:hAnsi="Arial" w:cs="Arial"/>
                <w:color w:val="13263F"/>
                <w:sz w:val="20"/>
                <w:szCs w:val="20"/>
              </w:rPr>
              <w:t>years</w:t>
            </w:r>
            <w:proofErr w:type="gramEnd"/>
            <w:r>
              <w:rPr>
                <w:rFonts w:ascii="Arial" w:hAnsi="Arial" w:cs="Arial"/>
                <w:color w:val="13263F"/>
                <w:sz w:val="20"/>
                <w:szCs w:val="20"/>
              </w:rPr>
              <w:t xml:space="preserve"> providers. It “sets the standards that all early </w:t>
            </w:r>
            <w:proofErr w:type="gramStart"/>
            <w:r>
              <w:rPr>
                <w:rFonts w:ascii="Arial" w:hAnsi="Arial" w:cs="Arial"/>
                <w:color w:val="13263F"/>
                <w:sz w:val="20"/>
                <w:szCs w:val="20"/>
              </w:rPr>
              <w:t>years</w:t>
            </w:r>
            <w:proofErr w:type="gramEnd"/>
            <w:r>
              <w:rPr>
                <w:rFonts w:ascii="Arial" w:hAnsi="Arial" w:cs="Arial"/>
                <w:color w:val="13263F"/>
                <w:sz w:val="20"/>
                <w:szCs w:val="20"/>
              </w:rPr>
              <w:t xml:space="preserve"> providers must meet to ensure that children learn and develop well”.</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t>EYFSP</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Early Years Foundation Stage profile.</w:t>
            </w:r>
          </w:p>
          <w:p>
            <w:pPr>
              <w:pStyle w:val="NormalWeb"/>
              <w:shd w:val="clear" w:color="auto" w:fill="FFFFFF"/>
              <w:rPr>
                <w:rFonts w:ascii="Arial" w:hAnsi="Arial" w:cs="Arial"/>
                <w:color w:val="13263F"/>
                <w:sz w:val="20"/>
                <w:szCs w:val="20"/>
              </w:rPr>
            </w:pPr>
            <w:r>
              <w:rPr>
                <w:rFonts w:ascii="Arial" w:hAnsi="Arial" w:cs="Arial"/>
                <w:color w:val="13263F"/>
                <w:sz w:val="20"/>
                <w:szCs w:val="20"/>
              </w:rPr>
              <w:t>A statutory assessment of children’s development at the end of the Early Years Foundation Stage.</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t>FGB</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Full governing body/board.</w:t>
            </w:r>
          </w:p>
          <w:p>
            <w:pPr>
              <w:pStyle w:val="NormalWeb"/>
              <w:shd w:val="clear" w:color="auto" w:fill="FFFFFF"/>
              <w:rPr>
                <w:rFonts w:ascii="Arial" w:hAnsi="Arial" w:cs="Arial"/>
                <w:color w:val="13263F"/>
                <w:sz w:val="20"/>
                <w:szCs w:val="20"/>
              </w:rPr>
            </w:pPr>
            <w:r>
              <w:rPr>
                <w:rFonts w:ascii="Arial" w:hAnsi="Arial" w:cs="Arial"/>
                <w:color w:val="13263F"/>
                <w:sz w:val="20"/>
                <w:szCs w:val="20"/>
              </w:rPr>
              <w:t>Your regular governing board meetings may be referred to as 'FGB meetings'.</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t>FSM</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Free school meals.</w:t>
            </w:r>
          </w:p>
          <w:p>
            <w:pPr>
              <w:pStyle w:val="NormalWeb"/>
              <w:shd w:val="clear" w:color="auto" w:fill="FFFFFF"/>
              <w:rPr>
                <w:rFonts w:ascii="Arial" w:hAnsi="Arial" w:cs="Arial"/>
                <w:color w:val="13263F"/>
                <w:sz w:val="20"/>
                <w:szCs w:val="20"/>
              </w:rPr>
            </w:pPr>
            <w:r>
              <w:rPr>
                <w:rFonts w:ascii="Arial" w:hAnsi="Arial" w:cs="Arial"/>
                <w:color w:val="13263F"/>
                <w:sz w:val="20"/>
                <w:szCs w:val="20"/>
              </w:rPr>
              <w:t>Usually refers to pupils who have been eligible for free school meals at any time during the past 6 years (also referred to as 'ever-6').</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lastRenderedPageBreak/>
              <w:t>GCSE</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General Certificate of Secondary Education.</w:t>
            </w:r>
          </w:p>
          <w:p>
            <w:pPr>
              <w:pStyle w:val="NormalWeb"/>
              <w:shd w:val="clear" w:color="auto" w:fill="FFFFFF"/>
              <w:rPr>
                <w:rFonts w:ascii="Arial" w:hAnsi="Arial" w:cs="Arial"/>
                <w:color w:val="13263F"/>
                <w:sz w:val="20"/>
                <w:szCs w:val="20"/>
              </w:rPr>
            </w:pPr>
            <w:r>
              <w:rPr>
                <w:rFonts w:ascii="Arial" w:hAnsi="Arial" w:cs="Arial"/>
                <w:color w:val="13263F"/>
                <w:sz w:val="20"/>
                <w:szCs w:val="20"/>
              </w:rPr>
              <w:t>A qualification in a specific subject typically taken by pupils aged 14 to 16.</w:t>
            </w:r>
          </w:p>
        </w:tc>
      </w:tr>
      <w:tr>
        <w:trPr>
          <w:cantSplit/>
        </w:trPr>
        <w:tc>
          <w:tcPr>
            <w:tcW w:w="2528" w:type="dxa"/>
            <w:shd w:val="clear" w:color="auto" w:fill="auto"/>
            <w:tcMar>
              <w:top w:w="113" w:type="dxa"/>
              <w:bottom w:w="113" w:type="dxa"/>
            </w:tcMar>
          </w:tcPr>
          <w:p>
            <w:pPr>
              <w:pStyle w:val="Text"/>
            </w:pPr>
            <w:r>
              <w:rPr>
                <w:color w:val="13263F"/>
                <w:shd w:val="clear" w:color="auto" w:fill="FFFFFF"/>
              </w:rPr>
              <w:t>GPS</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Grammar, punctuation and spelling (also known as ‘</w:t>
            </w:r>
            <w:proofErr w:type="spellStart"/>
            <w:r>
              <w:rPr>
                <w:rFonts w:ascii="Arial" w:hAnsi="Arial" w:cs="Arial"/>
                <w:color w:val="13263F"/>
                <w:sz w:val="20"/>
                <w:szCs w:val="20"/>
              </w:rPr>
              <w:t>SPaG</w:t>
            </w:r>
            <w:proofErr w:type="spellEnd"/>
            <w:r>
              <w:rPr>
                <w:rFonts w:ascii="Arial" w:hAnsi="Arial" w:cs="Arial"/>
                <w:color w:val="13263F"/>
                <w:sz w:val="20"/>
                <w:szCs w:val="20"/>
              </w:rPr>
              <w:t xml:space="preserve">’ – spelling, punctuation and grammar). </w:t>
            </w:r>
          </w:p>
          <w:p>
            <w:pPr>
              <w:pStyle w:val="NormalWeb"/>
              <w:shd w:val="clear" w:color="auto" w:fill="FFFFFF"/>
              <w:rPr>
                <w:rFonts w:ascii="Arial" w:hAnsi="Arial" w:cs="Arial"/>
                <w:color w:val="13263F"/>
                <w:sz w:val="20"/>
                <w:szCs w:val="20"/>
              </w:rPr>
            </w:pPr>
            <w:r>
              <w:rPr>
                <w:rFonts w:ascii="Arial" w:hAnsi="Arial" w:cs="Arial"/>
                <w:color w:val="13263F"/>
                <w:sz w:val="20"/>
                <w:szCs w:val="20"/>
              </w:rPr>
              <w:t>Part of the English curriculum. It is assessed as a standalone paper in KS2 SATs.</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t>HLTA</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Higher level teaching assistant.</w:t>
            </w:r>
          </w:p>
          <w:p>
            <w:pPr>
              <w:pStyle w:val="NormalWeb"/>
              <w:shd w:val="clear" w:color="auto" w:fill="FFFFFF"/>
              <w:rPr>
                <w:rFonts w:ascii="Arial" w:hAnsi="Arial" w:cs="Arial"/>
                <w:color w:val="13263F"/>
                <w:sz w:val="20"/>
                <w:szCs w:val="20"/>
              </w:rPr>
            </w:pPr>
            <w:r>
              <w:rPr>
                <w:rFonts w:ascii="Arial" w:hAnsi="Arial" w:cs="Arial"/>
                <w:color w:val="13263F"/>
                <w:sz w:val="20"/>
                <w:szCs w:val="20"/>
              </w:rPr>
              <w:t>HLTAs do all the things regular teaching assistants (TAs) do, but usually have increased responsibility. For example, an HLTA may be asked to teach classes on their own, cover planned absences, and free up teacher time to plan and mark.</w:t>
            </w:r>
          </w:p>
        </w:tc>
      </w:tr>
      <w:tr>
        <w:trPr>
          <w:cantSplit/>
        </w:trPr>
        <w:tc>
          <w:tcPr>
            <w:tcW w:w="2528" w:type="dxa"/>
            <w:shd w:val="clear" w:color="auto" w:fill="auto"/>
            <w:tcMar>
              <w:top w:w="113" w:type="dxa"/>
              <w:bottom w:w="113" w:type="dxa"/>
            </w:tcMar>
          </w:tcPr>
          <w:p>
            <w:pPr>
              <w:pStyle w:val="Text"/>
              <w:rPr>
                <w:lang w:val="en-GB"/>
              </w:rPr>
            </w:pPr>
            <w:r>
              <w:rPr>
                <w:color w:val="13263F"/>
                <w:shd w:val="clear" w:color="auto" w:fill="FFFFFF"/>
              </w:rPr>
              <w:t>IEB</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Interim executive board.</w:t>
            </w:r>
          </w:p>
          <w:p>
            <w:pPr>
              <w:pStyle w:val="NormalWeb"/>
              <w:shd w:val="clear" w:color="auto" w:fill="FFFFFF"/>
              <w:rPr>
                <w:rFonts w:ascii="Arial" w:hAnsi="Arial" w:cs="Arial"/>
                <w:color w:val="13263F"/>
                <w:sz w:val="20"/>
                <w:szCs w:val="20"/>
              </w:rPr>
            </w:pPr>
            <w:r>
              <w:rPr>
                <w:rFonts w:ascii="Arial" w:hAnsi="Arial" w:cs="Arial"/>
                <w:color w:val="13263F"/>
                <w:sz w:val="20"/>
                <w:szCs w:val="20"/>
              </w:rPr>
              <w:t xml:space="preserve">If a maintained school is judged ‘eligible for intervention’, then the local authority or regional </w:t>
            </w:r>
            <w:proofErr w:type="gramStart"/>
            <w:r>
              <w:rPr>
                <w:rFonts w:ascii="Arial" w:hAnsi="Arial" w:cs="Arial"/>
                <w:color w:val="13263F"/>
                <w:sz w:val="20"/>
                <w:szCs w:val="20"/>
              </w:rPr>
              <w:t>schools</w:t>
            </w:r>
            <w:proofErr w:type="gramEnd"/>
            <w:r>
              <w:rPr>
                <w:rFonts w:ascii="Arial" w:hAnsi="Arial" w:cs="Arial"/>
                <w:color w:val="13263F"/>
                <w:sz w:val="20"/>
                <w:szCs w:val="20"/>
              </w:rPr>
              <w:t xml:space="preserve"> commissioner may require an IEB to be put in place of the governing board. The IEB is a “focused group” that normally includes individuals “with financial skills and experience of transformational educational improvement”, according to government guidance on support and intervention in schools.</w:t>
            </w:r>
          </w:p>
        </w:tc>
      </w:tr>
      <w:tr>
        <w:trPr>
          <w:cantSplit/>
        </w:trPr>
        <w:tc>
          <w:tcPr>
            <w:tcW w:w="2528" w:type="dxa"/>
            <w:shd w:val="clear" w:color="auto" w:fill="auto"/>
            <w:tcMar>
              <w:top w:w="113" w:type="dxa"/>
              <w:bottom w:w="113" w:type="dxa"/>
            </w:tcMar>
          </w:tcPr>
          <w:p>
            <w:pPr>
              <w:pStyle w:val="Text"/>
              <w:rPr>
                <w:color w:val="13263F"/>
                <w:shd w:val="clear" w:color="auto" w:fill="FFFFFF"/>
              </w:rPr>
            </w:pPr>
            <w:hyperlink r:id="rId11" w:history="1">
              <w:r>
                <w:rPr>
                  <w:rStyle w:val="Hyperlink"/>
                  <w:shd w:val="clear" w:color="auto" w:fill="FFFFFF"/>
                </w:rPr>
                <w:t>IRP</w:t>
              </w:r>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Independent review panel.</w:t>
            </w:r>
          </w:p>
          <w:p>
            <w:pPr>
              <w:pStyle w:val="NormalWeb"/>
              <w:shd w:val="clear" w:color="auto" w:fill="FFFFFF"/>
              <w:rPr>
                <w:rFonts w:ascii="Arial" w:hAnsi="Arial" w:cs="Arial"/>
                <w:color w:val="13263F"/>
                <w:sz w:val="20"/>
                <w:szCs w:val="20"/>
              </w:rPr>
            </w:pPr>
            <w:r>
              <w:rPr>
                <w:rFonts w:ascii="Arial" w:hAnsi="Arial" w:cs="Arial"/>
                <w:color w:val="13263F"/>
                <w:sz w:val="20"/>
                <w:szCs w:val="20"/>
              </w:rPr>
              <w:t>A panel that reviews the governing board’s decision not to reinstate a pupil after exclusion at the parent/carer’s request.</w:t>
            </w:r>
          </w:p>
        </w:tc>
      </w:tr>
      <w:tr>
        <w:trPr>
          <w:cantSplit/>
        </w:trPr>
        <w:tc>
          <w:tcPr>
            <w:tcW w:w="2528" w:type="dxa"/>
            <w:shd w:val="clear" w:color="auto" w:fill="auto"/>
            <w:tcMar>
              <w:top w:w="113" w:type="dxa"/>
              <w:bottom w:w="113" w:type="dxa"/>
            </w:tcMar>
          </w:tcPr>
          <w:p>
            <w:pPr>
              <w:pStyle w:val="Text"/>
            </w:pPr>
            <w:r>
              <w:rPr>
                <w:color w:val="13263F"/>
                <w:shd w:val="clear" w:color="auto" w:fill="FFFFFF"/>
              </w:rPr>
              <w:t>ITT</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Initial teacher training.</w:t>
            </w:r>
          </w:p>
          <w:p>
            <w:pPr>
              <w:pStyle w:val="NormalWeb"/>
              <w:shd w:val="clear" w:color="auto" w:fill="FFFFFF"/>
              <w:rPr>
                <w:rFonts w:ascii="Arial" w:hAnsi="Arial" w:cs="Arial"/>
                <w:color w:val="13263F"/>
                <w:sz w:val="20"/>
                <w:szCs w:val="20"/>
              </w:rPr>
            </w:pPr>
            <w:r>
              <w:rPr>
                <w:rFonts w:ascii="Arial" w:hAnsi="Arial" w:cs="Arial"/>
                <w:color w:val="13263F"/>
                <w:sz w:val="20"/>
                <w:szCs w:val="20"/>
              </w:rPr>
              <w:t>The training that individuals undertake to become qualified teachers.</w:t>
            </w:r>
          </w:p>
        </w:tc>
      </w:tr>
      <w:tr>
        <w:trPr>
          <w:cantSplit/>
        </w:trPr>
        <w:tc>
          <w:tcPr>
            <w:tcW w:w="2528" w:type="dxa"/>
            <w:shd w:val="clear" w:color="auto" w:fill="auto"/>
            <w:tcMar>
              <w:top w:w="113" w:type="dxa"/>
              <w:bottom w:w="113" w:type="dxa"/>
            </w:tcMar>
          </w:tcPr>
          <w:p>
            <w:pPr>
              <w:pStyle w:val="Text"/>
              <w:rPr>
                <w:color w:val="13263F"/>
                <w:shd w:val="clear" w:color="auto" w:fill="FFFFFF"/>
              </w:rPr>
            </w:pPr>
            <w:hyperlink r:id="rId12" w:history="1">
              <w:r>
                <w:rPr>
                  <w:rStyle w:val="Hyperlink"/>
                  <w:shd w:val="clear" w:color="auto" w:fill="FFFFFF"/>
                </w:rPr>
                <w:t>KCSIE</w:t>
              </w:r>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Keeping Children Safe in Education.</w:t>
            </w:r>
          </w:p>
          <w:p>
            <w:pPr>
              <w:pStyle w:val="NormalWeb"/>
              <w:shd w:val="clear" w:color="auto" w:fill="FFFFFF"/>
              <w:rPr>
                <w:rFonts w:ascii="Arial" w:hAnsi="Arial" w:cs="Arial"/>
                <w:color w:val="13263F"/>
                <w:sz w:val="20"/>
                <w:szCs w:val="20"/>
              </w:rPr>
            </w:pPr>
            <w:r>
              <w:rPr>
                <w:rFonts w:ascii="Arial" w:hAnsi="Arial" w:cs="Arial"/>
                <w:color w:val="13263F"/>
                <w:sz w:val="20"/>
                <w:szCs w:val="20"/>
              </w:rPr>
              <w:t>Statutory guidance setting out what schools and colleges should do, and what they must comply with, to safeguard children.</w:t>
            </w:r>
          </w:p>
        </w:tc>
      </w:tr>
      <w:tr>
        <w:trPr>
          <w:cantSplit/>
        </w:trPr>
        <w:tc>
          <w:tcPr>
            <w:tcW w:w="2528" w:type="dxa"/>
            <w:shd w:val="clear" w:color="auto" w:fill="auto"/>
            <w:tcMar>
              <w:top w:w="113" w:type="dxa"/>
              <w:bottom w:w="113" w:type="dxa"/>
            </w:tcMar>
          </w:tcPr>
          <w:p>
            <w:pPr>
              <w:pStyle w:val="Text"/>
            </w:pPr>
            <w:proofErr w:type="gramStart"/>
            <w:r>
              <w:rPr>
                <w:color w:val="13263F"/>
                <w:shd w:val="clear" w:color="auto" w:fill="FFFFFF"/>
              </w:rPr>
              <w:t>KS(</w:t>
            </w:r>
            <w:proofErr w:type="gramEnd"/>
            <w:r>
              <w:rPr>
                <w:color w:val="13263F"/>
                <w:shd w:val="clear" w:color="auto" w:fill="FFFFFF"/>
              </w:rPr>
              <w:t>1,2, etc.)</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Key Stage (1,2, etc.).</w:t>
            </w:r>
          </w:p>
          <w:p>
            <w:pPr>
              <w:pStyle w:val="NormalWeb"/>
              <w:shd w:val="clear" w:color="auto" w:fill="FFFFFF"/>
              <w:rPr>
                <w:rFonts w:ascii="Arial" w:hAnsi="Arial" w:cs="Arial"/>
                <w:color w:val="13263F"/>
                <w:sz w:val="20"/>
                <w:szCs w:val="20"/>
              </w:rPr>
            </w:pPr>
            <w:r>
              <w:rPr>
                <w:rFonts w:ascii="Arial" w:hAnsi="Arial" w:cs="Arial"/>
                <w:color w:val="13263F"/>
                <w:sz w:val="20"/>
                <w:szCs w:val="20"/>
              </w:rPr>
              <w:t>The different stages of the National Curriculum (e.g. Key Stage 1 for pupils aged 5 to 7).</w:t>
            </w:r>
          </w:p>
        </w:tc>
      </w:tr>
      <w:tr>
        <w:trPr>
          <w:cantSplit/>
        </w:trPr>
        <w:tc>
          <w:tcPr>
            <w:tcW w:w="2528" w:type="dxa"/>
            <w:shd w:val="clear" w:color="auto" w:fill="auto"/>
            <w:tcMar>
              <w:top w:w="113" w:type="dxa"/>
              <w:bottom w:w="113" w:type="dxa"/>
            </w:tcMar>
          </w:tcPr>
          <w:p>
            <w:pPr>
              <w:pStyle w:val="Text"/>
              <w:rPr>
                <w:color w:val="13263F"/>
                <w:shd w:val="clear" w:color="auto" w:fill="FFFFFF"/>
              </w:rPr>
            </w:pPr>
            <w:r>
              <w:rPr>
                <w:color w:val="13263F"/>
                <w:shd w:val="clear" w:color="auto" w:fill="FFFFFF"/>
              </w:rPr>
              <w:t>LA</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Local authority.</w:t>
            </w:r>
          </w:p>
          <w:p>
            <w:pPr>
              <w:pStyle w:val="NormalWeb"/>
              <w:shd w:val="clear" w:color="auto" w:fill="FFFFFF"/>
              <w:rPr>
                <w:rFonts w:ascii="Arial" w:hAnsi="Arial" w:cs="Arial"/>
                <w:color w:val="13263F"/>
                <w:sz w:val="20"/>
                <w:szCs w:val="20"/>
              </w:rPr>
            </w:pPr>
            <w:r>
              <w:rPr>
                <w:rFonts w:ascii="Arial" w:hAnsi="Arial" w:cs="Arial"/>
                <w:color w:val="13263F"/>
                <w:sz w:val="20"/>
                <w:szCs w:val="20"/>
              </w:rPr>
              <w:t>The local council responsible for education and other services in a particular area.</w:t>
            </w:r>
          </w:p>
        </w:tc>
      </w:tr>
      <w:tr>
        <w:trPr>
          <w:cantSplit/>
        </w:trPr>
        <w:tc>
          <w:tcPr>
            <w:tcW w:w="2528" w:type="dxa"/>
            <w:shd w:val="clear" w:color="auto" w:fill="auto"/>
            <w:tcMar>
              <w:top w:w="113" w:type="dxa"/>
              <w:bottom w:w="113" w:type="dxa"/>
            </w:tcMar>
          </w:tcPr>
          <w:p>
            <w:pPr>
              <w:pStyle w:val="Text"/>
              <w:rPr>
                <w:color w:val="13263F"/>
                <w:shd w:val="clear" w:color="auto" w:fill="FFFFFF"/>
              </w:rPr>
            </w:pPr>
            <w:hyperlink r:id="rId13" w:history="1">
              <w:r>
                <w:rPr>
                  <w:rStyle w:val="Hyperlink"/>
                  <w:shd w:val="clear" w:color="auto" w:fill="FFFFFF"/>
                </w:rPr>
                <w:t>LAC</w:t>
              </w:r>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Looked-after children.</w:t>
            </w:r>
          </w:p>
          <w:p>
            <w:pPr>
              <w:pStyle w:val="NormalWeb"/>
              <w:shd w:val="clear" w:color="auto" w:fill="FFFFFF"/>
              <w:rPr>
                <w:rFonts w:ascii="Arial" w:hAnsi="Arial" w:cs="Arial"/>
                <w:color w:val="13263F"/>
                <w:sz w:val="20"/>
                <w:szCs w:val="20"/>
              </w:rPr>
            </w:pPr>
            <w:r>
              <w:rPr>
                <w:rFonts w:ascii="Arial" w:hAnsi="Arial" w:cs="Arial"/>
                <w:color w:val="13263F"/>
                <w:sz w:val="20"/>
                <w:szCs w:val="20"/>
              </w:rPr>
              <w:t>Children who are in the care of the local authority.</w:t>
            </w:r>
          </w:p>
        </w:tc>
      </w:tr>
      <w:tr>
        <w:trPr>
          <w:cantSplit/>
        </w:trPr>
        <w:tc>
          <w:tcPr>
            <w:tcW w:w="2528" w:type="dxa"/>
            <w:shd w:val="clear" w:color="auto" w:fill="auto"/>
            <w:tcMar>
              <w:top w:w="113" w:type="dxa"/>
              <w:bottom w:w="113" w:type="dxa"/>
            </w:tcMar>
          </w:tcPr>
          <w:p>
            <w:pPr>
              <w:pStyle w:val="Text"/>
            </w:pPr>
            <w:r>
              <w:rPr>
                <w:color w:val="13263F"/>
                <w:shd w:val="clear" w:color="auto" w:fill="FFFFFF"/>
              </w:rPr>
              <w:lastRenderedPageBreak/>
              <w:t>NEET</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Not in education, employment or training.</w:t>
            </w:r>
          </w:p>
          <w:p>
            <w:pPr>
              <w:pStyle w:val="NormalWeb"/>
              <w:shd w:val="clear" w:color="auto" w:fill="FFFFFF"/>
              <w:rPr>
                <w:rFonts w:ascii="Arial" w:hAnsi="Arial" w:cs="Arial"/>
                <w:color w:val="13263F"/>
                <w:sz w:val="20"/>
                <w:szCs w:val="20"/>
              </w:rPr>
            </w:pPr>
            <w:r>
              <w:rPr>
                <w:rFonts w:ascii="Arial" w:hAnsi="Arial" w:cs="Arial"/>
                <w:color w:val="13263F"/>
                <w:sz w:val="20"/>
                <w:szCs w:val="20"/>
              </w:rPr>
              <w:t>Young people (usually aged 16 to 24) who are not in employment, education or training.</w:t>
            </w:r>
          </w:p>
        </w:tc>
      </w:tr>
      <w:tr>
        <w:trPr>
          <w:cantSplit/>
        </w:trPr>
        <w:tc>
          <w:tcPr>
            <w:tcW w:w="2528" w:type="dxa"/>
            <w:shd w:val="clear" w:color="auto" w:fill="auto"/>
            <w:tcMar>
              <w:top w:w="113" w:type="dxa"/>
              <w:bottom w:w="113" w:type="dxa"/>
            </w:tcMar>
          </w:tcPr>
          <w:p>
            <w:pPr>
              <w:pStyle w:val="Text"/>
              <w:rPr>
                <w:color w:val="13263F"/>
                <w:shd w:val="clear" w:color="auto" w:fill="FFFFFF"/>
              </w:rPr>
            </w:pPr>
            <w:hyperlink r:id="rId14" w:tooltip="National funding formula: an overview" w:history="1">
              <w:r>
                <w:rPr>
                  <w:rStyle w:val="Hyperlink"/>
                  <w:shd w:val="clear" w:color="auto" w:fill="FFFFFF"/>
                </w:rPr>
                <w:t>NFF</w:t>
              </w:r>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National funding formula.</w:t>
            </w:r>
          </w:p>
          <w:p>
            <w:pPr>
              <w:pStyle w:val="NormalWeb"/>
              <w:shd w:val="clear" w:color="auto" w:fill="FFFFFF"/>
              <w:rPr>
                <w:rFonts w:ascii="Arial" w:hAnsi="Arial" w:cs="Arial"/>
                <w:color w:val="13263F"/>
                <w:sz w:val="20"/>
                <w:szCs w:val="20"/>
              </w:rPr>
            </w:pPr>
            <w:r>
              <w:rPr>
                <w:rFonts w:ascii="Arial" w:hAnsi="Arial" w:cs="Arial"/>
                <w:color w:val="13263F"/>
                <w:sz w:val="20"/>
                <w:szCs w:val="20"/>
              </w:rPr>
              <w:t>The formula used to calculate funding for state-funded schools.</w:t>
            </w:r>
          </w:p>
        </w:tc>
      </w:tr>
      <w:tr>
        <w:trPr>
          <w:cantSplit/>
        </w:trPr>
        <w:tc>
          <w:tcPr>
            <w:tcW w:w="2528" w:type="dxa"/>
            <w:shd w:val="clear" w:color="auto" w:fill="auto"/>
            <w:tcMar>
              <w:top w:w="113" w:type="dxa"/>
              <w:bottom w:w="113" w:type="dxa"/>
            </w:tcMar>
          </w:tcPr>
          <w:p>
            <w:pPr>
              <w:pStyle w:val="Text"/>
              <w:rPr>
                <w:color w:val="13263F"/>
                <w:shd w:val="clear" w:color="auto" w:fill="FFFFFF"/>
              </w:rPr>
            </w:pPr>
            <w:r>
              <w:rPr>
                <w:color w:val="13263F"/>
                <w:shd w:val="clear" w:color="auto" w:fill="FFFFFF"/>
              </w:rPr>
              <w:t>PAN</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Published admission number.</w:t>
            </w:r>
          </w:p>
          <w:p>
            <w:pPr>
              <w:pStyle w:val="NormalWeb"/>
              <w:shd w:val="clear" w:color="auto" w:fill="FFFFFF"/>
              <w:rPr>
                <w:rFonts w:ascii="Arial" w:hAnsi="Arial" w:cs="Arial"/>
                <w:color w:val="13263F"/>
                <w:sz w:val="20"/>
                <w:szCs w:val="20"/>
              </w:rPr>
            </w:pPr>
            <w:r>
              <w:rPr>
                <w:rFonts w:ascii="Arial" w:hAnsi="Arial" w:cs="Arial"/>
                <w:color w:val="13263F"/>
                <w:sz w:val="20"/>
                <w:szCs w:val="20"/>
              </w:rPr>
              <w:t>The maximum number of pupils that a school is allowed to admit in each year group.</w:t>
            </w:r>
          </w:p>
        </w:tc>
      </w:tr>
      <w:tr>
        <w:trPr>
          <w:cantSplit/>
        </w:trPr>
        <w:tc>
          <w:tcPr>
            <w:tcW w:w="2528" w:type="dxa"/>
            <w:shd w:val="clear" w:color="auto" w:fill="auto"/>
            <w:tcMar>
              <w:top w:w="113" w:type="dxa"/>
              <w:bottom w:w="113" w:type="dxa"/>
            </w:tcMar>
          </w:tcPr>
          <w:p>
            <w:pPr>
              <w:pStyle w:val="Text"/>
              <w:rPr>
                <w:color w:val="13263F"/>
                <w:shd w:val="clear" w:color="auto" w:fill="FFFFFF"/>
              </w:rPr>
            </w:pPr>
            <w:r>
              <w:rPr>
                <w:color w:val="13263F"/>
                <w:shd w:val="clear" w:color="auto" w:fill="FFFFFF"/>
              </w:rPr>
              <w:t>PGCE</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Postgraduate Certificate in Education.</w:t>
            </w:r>
          </w:p>
          <w:p>
            <w:pPr>
              <w:pStyle w:val="NormalWeb"/>
              <w:shd w:val="clear" w:color="auto" w:fill="FFFFFF"/>
              <w:rPr>
                <w:rFonts w:ascii="Arial" w:hAnsi="Arial" w:cs="Arial"/>
                <w:color w:val="13263F"/>
                <w:sz w:val="20"/>
                <w:szCs w:val="20"/>
              </w:rPr>
            </w:pPr>
            <w:r>
              <w:rPr>
                <w:rFonts w:ascii="Arial" w:hAnsi="Arial" w:cs="Arial"/>
                <w:color w:val="13263F"/>
                <w:sz w:val="20"/>
                <w:szCs w:val="20"/>
              </w:rPr>
              <w:t>A qualification that allows graduates to become qualified teachers.</w:t>
            </w:r>
          </w:p>
        </w:tc>
      </w:tr>
      <w:tr>
        <w:trPr>
          <w:cantSplit/>
        </w:trPr>
        <w:tc>
          <w:tcPr>
            <w:tcW w:w="2528" w:type="dxa"/>
            <w:shd w:val="clear" w:color="auto" w:fill="auto"/>
            <w:tcMar>
              <w:top w:w="113" w:type="dxa"/>
              <w:bottom w:w="113" w:type="dxa"/>
            </w:tcMar>
          </w:tcPr>
          <w:p>
            <w:pPr>
              <w:pStyle w:val="Text"/>
              <w:rPr>
                <w:color w:val="13263F"/>
                <w:shd w:val="clear" w:color="auto" w:fill="FFFFFF"/>
              </w:rPr>
            </w:pPr>
            <w:hyperlink r:id="rId15" w:history="1">
              <w:r>
                <w:rPr>
                  <w:rStyle w:val="Hyperlink"/>
                  <w:shd w:val="clear" w:color="auto" w:fill="FFFFFF"/>
                </w:rPr>
                <w:t>PP</w:t>
              </w:r>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Pupil premium.</w:t>
            </w:r>
          </w:p>
          <w:p>
            <w:pPr>
              <w:pStyle w:val="NormalWeb"/>
              <w:shd w:val="clear" w:color="auto" w:fill="FFFFFF"/>
              <w:rPr>
                <w:rFonts w:ascii="Arial" w:hAnsi="Arial" w:cs="Arial"/>
                <w:color w:val="13263F"/>
                <w:sz w:val="20"/>
                <w:szCs w:val="20"/>
              </w:rPr>
            </w:pPr>
            <w:r>
              <w:rPr>
                <w:rFonts w:ascii="Arial" w:hAnsi="Arial" w:cs="Arial"/>
                <w:color w:val="13263F"/>
                <w:sz w:val="20"/>
                <w:szCs w:val="20"/>
              </w:rPr>
              <w:t>Additional funding given to publicly funded schools in England to raise the attainment of disadvantaged pupils.</w:t>
            </w:r>
          </w:p>
        </w:tc>
      </w:tr>
      <w:tr>
        <w:trPr>
          <w:cantSplit/>
        </w:trPr>
        <w:tc>
          <w:tcPr>
            <w:tcW w:w="2528" w:type="dxa"/>
            <w:shd w:val="clear" w:color="auto" w:fill="auto"/>
            <w:tcMar>
              <w:top w:w="113" w:type="dxa"/>
              <w:bottom w:w="113" w:type="dxa"/>
            </w:tcMar>
          </w:tcPr>
          <w:p>
            <w:pPr>
              <w:pStyle w:val="Text"/>
            </w:pPr>
            <w:r>
              <w:rPr>
                <w:color w:val="13263F"/>
                <w:shd w:val="clear" w:color="auto" w:fill="FFFFFF"/>
              </w:rPr>
              <w:t>PPA</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Planning, preparation and assessment.</w:t>
            </w:r>
          </w:p>
          <w:p>
            <w:pPr>
              <w:pStyle w:val="NormalWeb"/>
              <w:shd w:val="clear" w:color="auto" w:fill="FFFFFF"/>
              <w:rPr>
                <w:rFonts w:ascii="Arial" w:hAnsi="Arial" w:cs="Arial"/>
                <w:color w:val="13263F"/>
                <w:sz w:val="20"/>
                <w:szCs w:val="20"/>
              </w:rPr>
            </w:pPr>
            <w:r>
              <w:rPr>
                <w:rFonts w:ascii="Arial" w:hAnsi="Arial" w:cs="Arial"/>
                <w:color w:val="13263F"/>
                <w:sz w:val="20"/>
                <w:szCs w:val="20"/>
              </w:rPr>
              <w:t>Allocated time for teachers to plan lessons, prepare resources and assess pupils' work.</w:t>
            </w:r>
          </w:p>
        </w:tc>
      </w:tr>
      <w:tr>
        <w:trPr>
          <w:cantSplit/>
        </w:trPr>
        <w:tc>
          <w:tcPr>
            <w:tcW w:w="2528" w:type="dxa"/>
            <w:shd w:val="clear" w:color="auto" w:fill="auto"/>
            <w:tcMar>
              <w:top w:w="113" w:type="dxa"/>
              <w:bottom w:w="113" w:type="dxa"/>
            </w:tcMar>
          </w:tcPr>
          <w:p>
            <w:pPr>
              <w:pStyle w:val="Text"/>
              <w:rPr>
                <w:color w:val="13263F"/>
                <w:shd w:val="clear" w:color="auto" w:fill="FFFFFF"/>
              </w:rPr>
            </w:pPr>
            <w:r>
              <w:rPr>
                <w:color w:val="13263F"/>
                <w:shd w:val="clear" w:color="auto" w:fill="FFFFFF"/>
              </w:rPr>
              <w:t>PRU</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Pupil referral unit.</w:t>
            </w:r>
          </w:p>
          <w:p>
            <w:pPr>
              <w:pStyle w:val="NormalWeb"/>
              <w:shd w:val="clear" w:color="auto" w:fill="FFFFFF"/>
              <w:rPr>
                <w:rFonts w:ascii="Arial" w:hAnsi="Arial" w:cs="Arial"/>
                <w:color w:val="13263F"/>
                <w:sz w:val="20"/>
                <w:szCs w:val="20"/>
              </w:rPr>
            </w:pPr>
            <w:r>
              <w:rPr>
                <w:rFonts w:ascii="Arial" w:hAnsi="Arial" w:cs="Arial"/>
                <w:color w:val="13263F"/>
                <w:sz w:val="20"/>
                <w:szCs w:val="20"/>
              </w:rPr>
              <w:t>An alternative education setting that caters specifically for children who are unable to attend mainstream school due to exclusion, illness or for other reasons.</w:t>
            </w:r>
          </w:p>
        </w:tc>
      </w:tr>
      <w:tr>
        <w:trPr>
          <w:cantSplit/>
        </w:trPr>
        <w:tc>
          <w:tcPr>
            <w:tcW w:w="2528" w:type="dxa"/>
            <w:shd w:val="clear" w:color="auto" w:fill="auto"/>
            <w:tcMar>
              <w:top w:w="113" w:type="dxa"/>
              <w:bottom w:w="113" w:type="dxa"/>
            </w:tcMar>
          </w:tcPr>
          <w:p>
            <w:pPr>
              <w:pStyle w:val="Text"/>
              <w:rPr>
                <w:color w:val="13263F"/>
                <w:shd w:val="clear" w:color="auto" w:fill="FFFFFF"/>
              </w:rPr>
            </w:pPr>
            <w:r>
              <w:rPr>
                <w:color w:val="13263F"/>
                <w:shd w:val="clear" w:color="auto" w:fill="FFFFFF"/>
              </w:rPr>
              <w:t>PSHE</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Personal, social, health and economic education.</w:t>
            </w:r>
          </w:p>
          <w:p>
            <w:pPr>
              <w:pStyle w:val="NormalWeb"/>
              <w:shd w:val="clear" w:color="auto" w:fill="FFFFFF"/>
              <w:rPr>
                <w:rFonts w:ascii="Arial" w:hAnsi="Arial" w:cs="Arial"/>
                <w:color w:val="13263F"/>
                <w:sz w:val="20"/>
                <w:szCs w:val="20"/>
              </w:rPr>
            </w:pPr>
            <w:r>
              <w:rPr>
                <w:rFonts w:ascii="Arial" w:hAnsi="Arial" w:cs="Arial"/>
                <w:color w:val="13263F"/>
                <w:sz w:val="20"/>
                <w:szCs w:val="20"/>
              </w:rPr>
              <w:t>A subject that teaches pupils about things like their well-being, relationships and wider society.</w:t>
            </w:r>
          </w:p>
        </w:tc>
      </w:tr>
      <w:tr>
        <w:trPr>
          <w:cantSplit/>
        </w:trPr>
        <w:tc>
          <w:tcPr>
            <w:tcW w:w="2528" w:type="dxa"/>
            <w:shd w:val="clear" w:color="auto" w:fill="auto"/>
            <w:tcMar>
              <w:top w:w="113" w:type="dxa"/>
              <w:bottom w:w="113" w:type="dxa"/>
            </w:tcMar>
          </w:tcPr>
          <w:p>
            <w:pPr>
              <w:pStyle w:val="Text"/>
              <w:rPr>
                <w:color w:val="13263F"/>
                <w:shd w:val="clear" w:color="auto" w:fill="FFFFFF"/>
              </w:rPr>
            </w:pPr>
            <w:r>
              <w:rPr>
                <w:color w:val="13263F"/>
                <w:shd w:val="clear" w:color="auto" w:fill="FFFFFF"/>
              </w:rPr>
              <w:t>QTS</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Qualified teacher status.</w:t>
            </w:r>
          </w:p>
          <w:p>
            <w:pPr>
              <w:pStyle w:val="NormalWeb"/>
              <w:shd w:val="clear" w:color="auto" w:fill="FFFFFF"/>
              <w:rPr>
                <w:rFonts w:ascii="Arial" w:hAnsi="Arial" w:cs="Arial"/>
                <w:color w:val="13263F"/>
                <w:sz w:val="20"/>
                <w:szCs w:val="20"/>
              </w:rPr>
            </w:pPr>
            <w:r>
              <w:rPr>
                <w:rFonts w:ascii="Arial" w:hAnsi="Arial" w:cs="Arial"/>
                <w:color w:val="13263F"/>
                <w:sz w:val="20"/>
                <w:szCs w:val="20"/>
              </w:rPr>
              <w:t>A qualification for those taking up teaching posts in maintained schools and non-maintained special schools in England. Some individuals without QTS may still be employed in teaching posts.</w:t>
            </w:r>
          </w:p>
        </w:tc>
      </w:tr>
      <w:tr>
        <w:trPr>
          <w:cantSplit/>
        </w:trPr>
        <w:tc>
          <w:tcPr>
            <w:tcW w:w="2528" w:type="dxa"/>
            <w:shd w:val="clear" w:color="auto" w:fill="auto"/>
            <w:tcMar>
              <w:top w:w="113" w:type="dxa"/>
              <w:bottom w:w="113" w:type="dxa"/>
            </w:tcMar>
          </w:tcPr>
          <w:p>
            <w:pPr>
              <w:pStyle w:val="Text"/>
              <w:rPr>
                <w:color w:val="13263F"/>
                <w:shd w:val="clear" w:color="auto" w:fill="FFFFFF"/>
              </w:rPr>
            </w:pPr>
            <w:r>
              <w:rPr>
                <w:color w:val="13263F"/>
                <w:shd w:val="clear" w:color="auto" w:fill="FFFFFF"/>
              </w:rPr>
              <w:t>RBA</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Reception baseline assessment.</w:t>
            </w:r>
          </w:p>
          <w:p>
            <w:pPr>
              <w:pStyle w:val="NormalWeb"/>
              <w:shd w:val="clear" w:color="auto" w:fill="FFFFFF"/>
              <w:rPr>
                <w:rFonts w:ascii="Arial" w:hAnsi="Arial" w:cs="Arial"/>
                <w:color w:val="13263F"/>
                <w:sz w:val="20"/>
                <w:szCs w:val="20"/>
              </w:rPr>
            </w:pPr>
            <w:r>
              <w:rPr>
                <w:rFonts w:ascii="Arial" w:hAnsi="Arial" w:cs="Arial"/>
                <w:color w:val="13263F"/>
                <w:sz w:val="20"/>
                <w:szCs w:val="20"/>
              </w:rPr>
              <w:t>An assessment carried out in the first few weeks of reception to measure pupils' starting points.</w:t>
            </w:r>
          </w:p>
        </w:tc>
      </w:tr>
      <w:tr>
        <w:trPr>
          <w:cantSplit/>
        </w:trPr>
        <w:tc>
          <w:tcPr>
            <w:tcW w:w="2528" w:type="dxa"/>
            <w:shd w:val="clear" w:color="auto" w:fill="auto"/>
            <w:tcMar>
              <w:top w:w="113" w:type="dxa"/>
              <w:bottom w:w="113" w:type="dxa"/>
            </w:tcMar>
          </w:tcPr>
          <w:p>
            <w:pPr>
              <w:pStyle w:val="Text"/>
              <w:rPr>
                <w:color w:val="13263F"/>
                <w:shd w:val="clear" w:color="auto" w:fill="FFFFFF"/>
              </w:rPr>
            </w:pPr>
            <w:hyperlink r:id="rId16" w:history="1">
              <w:r>
                <w:rPr>
                  <w:rStyle w:val="Hyperlink"/>
                  <w:shd w:val="clear" w:color="auto" w:fill="FFFFFF"/>
                </w:rPr>
                <w:t>RSE/RSHE</w:t>
              </w:r>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Relationships, sex (and health) education.</w:t>
            </w:r>
          </w:p>
          <w:p>
            <w:pPr>
              <w:pStyle w:val="NormalWeb"/>
              <w:shd w:val="clear" w:color="auto" w:fill="FFFFFF"/>
              <w:rPr>
                <w:rFonts w:ascii="Arial" w:hAnsi="Arial" w:cs="Arial"/>
                <w:color w:val="13263F"/>
                <w:sz w:val="20"/>
                <w:szCs w:val="20"/>
              </w:rPr>
            </w:pPr>
            <w:r>
              <w:rPr>
                <w:rFonts w:ascii="Arial" w:hAnsi="Arial" w:cs="Arial"/>
                <w:color w:val="13263F"/>
                <w:sz w:val="20"/>
                <w:szCs w:val="20"/>
              </w:rPr>
              <w:t>A subject that teaches pupils about healthy relationships, sexual health and development.</w:t>
            </w:r>
          </w:p>
        </w:tc>
      </w:tr>
      <w:tr>
        <w:trPr>
          <w:cantSplit/>
        </w:trPr>
        <w:tc>
          <w:tcPr>
            <w:tcW w:w="2528" w:type="dxa"/>
            <w:shd w:val="clear" w:color="auto" w:fill="auto"/>
            <w:tcMar>
              <w:top w:w="113" w:type="dxa"/>
              <w:bottom w:w="113" w:type="dxa"/>
            </w:tcMar>
          </w:tcPr>
          <w:p>
            <w:pPr>
              <w:pStyle w:val="Text"/>
            </w:pPr>
            <w:r>
              <w:rPr>
                <w:color w:val="13263F"/>
                <w:shd w:val="clear" w:color="auto" w:fill="FFFFFF"/>
              </w:rPr>
              <w:t>SATs</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Standard Assessment Tests.</w:t>
            </w:r>
          </w:p>
          <w:p>
            <w:pPr>
              <w:pStyle w:val="NormalWeb"/>
              <w:shd w:val="clear" w:color="auto" w:fill="FFFFFF"/>
              <w:rPr>
                <w:rFonts w:ascii="Arial" w:hAnsi="Arial" w:cs="Arial"/>
                <w:color w:val="13263F"/>
                <w:sz w:val="20"/>
                <w:szCs w:val="20"/>
              </w:rPr>
            </w:pPr>
            <w:r>
              <w:rPr>
                <w:rFonts w:ascii="Arial" w:hAnsi="Arial" w:cs="Arial"/>
                <w:color w:val="13263F"/>
                <w:sz w:val="20"/>
                <w:szCs w:val="20"/>
              </w:rPr>
              <w:t>National Curriculum tests administered in years 2 (optional) and 6.</w:t>
            </w:r>
          </w:p>
        </w:tc>
      </w:tr>
      <w:tr>
        <w:trPr>
          <w:cantSplit/>
        </w:trPr>
        <w:tc>
          <w:tcPr>
            <w:tcW w:w="2528" w:type="dxa"/>
            <w:shd w:val="clear" w:color="auto" w:fill="auto"/>
            <w:tcMar>
              <w:top w:w="113" w:type="dxa"/>
              <w:bottom w:w="113" w:type="dxa"/>
            </w:tcMar>
          </w:tcPr>
          <w:p>
            <w:pPr>
              <w:pStyle w:val="Text"/>
              <w:rPr>
                <w:color w:val="13263F"/>
                <w:shd w:val="clear" w:color="auto" w:fill="FFFFFF"/>
              </w:rPr>
            </w:pPr>
            <w:r>
              <w:rPr>
                <w:color w:val="13263F"/>
                <w:shd w:val="clear" w:color="auto" w:fill="FFFFFF"/>
              </w:rPr>
              <w:t>SBM</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School business manager.</w:t>
            </w:r>
          </w:p>
          <w:p>
            <w:pPr>
              <w:pStyle w:val="NormalWeb"/>
              <w:shd w:val="clear" w:color="auto" w:fill="FFFFFF"/>
              <w:rPr>
                <w:rFonts w:ascii="Arial" w:hAnsi="Arial" w:cs="Arial"/>
                <w:color w:val="13263F"/>
                <w:sz w:val="20"/>
                <w:szCs w:val="20"/>
              </w:rPr>
            </w:pPr>
            <w:r>
              <w:rPr>
                <w:rFonts w:ascii="Arial" w:hAnsi="Arial" w:cs="Arial"/>
                <w:color w:val="13263F"/>
                <w:sz w:val="20"/>
                <w:szCs w:val="20"/>
              </w:rPr>
              <w:t>Usually the most senior member of support staff. Their remit varies from school to school, but they often oversee: financial management and control, administrative management for the school, procurement and contract management, strategic budget setting, premises management, health and safety, HR management, payroll and project management.</w:t>
            </w:r>
          </w:p>
        </w:tc>
      </w:tr>
      <w:tr>
        <w:trPr>
          <w:cantSplit/>
        </w:trPr>
        <w:tc>
          <w:tcPr>
            <w:tcW w:w="2528" w:type="dxa"/>
            <w:shd w:val="clear" w:color="auto" w:fill="auto"/>
            <w:tcMar>
              <w:top w:w="113" w:type="dxa"/>
              <w:bottom w:w="113" w:type="dxa"/>
            </w:tcMar>
          </w:tcPr>
          <w:p>
            <w:pPr>
              <w:pStyle w:val="Text"/>
              <w:rPr>
                <w:color w:val="13263F"/>
                <w:shd w:val="clear" w:color="auto" w:fill="FFFFFF"/>
              </w:rPr>
            </w:pPr>
            <w:hyperlink r:id="rId17" w:history="1">
              <w:r>
                <w:rPr>
                  <w:rStyle w:val="Hyperlink"/>
                  <w:shd w:val="clear" w:color="auto" w:fill="FFFFFF"/>
                </w:rPr>
                <w:t>SCR</w:t>
              </w:r>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Single central record.</w:t>
            </w:r>
          </w:p>
          <w:p>
            <w:pPr>
              <w:pStyle w:val="NormalWeb"/>
              <w:shd w:val="clear" w:color="auto" w:fill="FFFFFF"/>
              <w:rPr>
                <w:rFonts w:ascii="Arial" w:hAnsi="Arial" w:cs="Arial"/>
                <w:color w:val="13263F"/>
                <w:sz w:val="20"/>
                <w:szCs w:val="20"/>
              </w:rPr>
            </w:pPr>
            <w:r>
              <w:rPr>
                <w:rFonts w:ascii="Arial" w:hAnsi="Arial" w:cs="Arial"/>
                <w:color w:val="13263F"/>
                <w:sz w:val="20"/>
                <w:szCs w:val="20"/>
              </w:rPr>
              <w:t>A record of employment and suitability checks a school has carried out on staff. The SCR should be kept up to date by staff in the school, while the governing board or academy trust must make sure that the responsible member(s) of school staff are monitoring the SCR. A statutory requirement for all schools.</w:t>
            </w:r>
          </w:p>
        </w:tc>
      </w:tr>
      <w:tr>
        <w:trPr>
          <w:cantSplit/>
        </w:trPr>
        <w:tc>
          <w:tcPr>
            <w:tcW w:w="2528" w:type="dxa"/>
            <w:shd w:val="clear" w:color="auto" w:fill="auto"/>
            <w:tcMar>
              <w:top w:w="113" w:type="dxa"/>
              <w:bottom w:w="113" w:type="dxa"/>
            </w:tcMar>
          </w:tcPr>
          <w:p>
            <w:pPr>
              <w:pStyle w:val="Text"/>
            </w:pPr>
            <w:hyperlink r:id="rId18" w:history="1">
              <w:r>
                <w:rPr>
                  <w:rStyle w:val="Hyperlink"/>
                  <w:shd w:val="clear" w:color="auto" w:fill="FFFFFF"/>
                </w:rPr>
                <w:t>SDP/SIP</w:t>
              </w:r>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School development plan/school improvement plan.</w:t>
            </w:r>
          </w:p>
          <w:p>
            <w:pPr>
              <w:pStyle w:val="NormalWeb"/>
              <w:shd w:val="clear" w:color="auto" w:fill="FFFFFF"/>
              <w:rPr>
                <w:rFonts w:ascii="Arial" w:hAnsi="Arial" w:cs="Arial"/>
                <w:color w:val="13263F"/>
                <w:sz w:val="20"/>
                <w:szCs w:val="20"/>
              </w:rPr>
            </w:pPr>
            <w:r>
              <w:rPr>
                <w:rFonts w:ascii="Arial" w:hAnsi="Arial" w:cs="Arial"/>
                <w:color w:val="13263F"/>
                <w:sz w:val="20"/>
                <w:szCs w:val="20"/>
              </w:rPr>
              <w:t>A document created by your board and the headteacher that sets out the school's priorities for improvement over the coming year(s).</w:t>
            </w:r>
          </w:p>
        </w:tc>
      </w:tr>
      <w:tr>
        <w:trPr>
          <w:cantSplit/>
        </w:trPr>
        <w:tc>
          <w:tcPr>
            <w:tcW w:w="2528" w:type="dxa"/>
            <w:shd w:val="clear" w:color="auto" w:fill="auto"/>
            <w:tcMar>
              <w:top w:w="113" w:type="dxa"/>
              <w:bottom w:w="113" w:type="dxa"/>
            </w:tcMar>
          </w:tcPr>
          <w:p>
            <w:pPr>
              <w:pStyle w:val="Text"/>
            </w:pPr>
            <w:hyperlink r:id="rId19" w:history="1">
              <w:r>
                <w:rPr>
                  <w:rStyle w:val="Hyperlink"/>
                  <w:shd w:val="clear" w:color="auto" w:fill="FFFFFF"/>
                </w:rPr>
                <w:t>SEN/SEND</w:t>
              </w:r>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Special educational needs/special educational needs and/or disabilities.</w:t>
            </w:r>
          </w:p>
          <w:p>
            <w:pPr>
              <w:pStyle w:val="NormalWeb"/>
              <w:shd w:val="clear" w:color="auto" w:fill="FFFFFF"/>
              <w:rPr>
                <w:rFonts w:ascii="Arial" w:hAnsi="Arial" w:cs="Arial"/>
                <w:color w:val="13263F"/>
                <w:sz w:val="20"/>
                <w:szCs w:val="20"/>
              </w:rPr>
            </w:pPr>
            <w:r>
              <w:rPr>
                <w:rFonts w:ascii="Arial" w:hAnsi="Arial" w:cs="Arial"/>
                <w:color w:val="13263F"/>
                <w:sz w:val="20"/>
                <w:szCs w:val="20"/>
              </w:rPr>
              <w:t>A pupil has SEN(D) if they need special educational provision due to a learning difficulty or disability. These terms (SEN and SEND) are often used interchangeably.</w:t>
            </w:r>
          </w:p>
        </w:tc>
      </w:tr>
      <w:tr>
        <w:trPr>
          <w:cantSplit/>
        </w:trPr>
        <w:tc>
          <w:tcPr>
            <w:tcW w:w="2528" w:type="dxa"/>
            <w:shd w:val="clear" w:color="auto" w:fill="auto"/>
            <w:tcMar>
              <w:top w:w="113" w:type="dxa"/>
              <w:bottom w:w="113" w:type="dxa"/>
            </w:tcMar>
          </w:tcPr>
          <w:p>
            <w:pPr>
              <w:pStyle w:val="Text"/>
            </w:pPr>
            <w:hyperlink r:id="rId20" w:history="1">
              <w:r>
                <w:rPr>
                  <w:rStyle w:val="Hyperlink"/>
                  <w:shd w:val="clear" w:color="auto" w:fill="FFFFFF"/>
                </w:rPr>
                <w:t>SEN(D)CO</w:t>
              </w:r>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Special educational needs (and disabilities) co-ordinator.</w:t>
            </w:r>
          </w:p>
          <w:p>
            <w:pPr>
              <w:pStyle w:val="NormalWeb"/>
              <w:shd w:val="clear" w:color="auto" w:fill="FFFFFF"/>
              <w:rPr>
                <w:rFonts w:ascii="Arial" w:hAnsi="Arial" w:cs="Arial"/>
                <w:color w:val="13263F"/>
                <w:sz w:val="20"/>
                <w:szCs w:val="20"/>
              </w:rPr>
            </w:pPr>
            <w:r>
              <w:rPr>
                <w:rFonts w:ascii="Arial" w:hAnsi="Arial" w:cs="Arial"/>
                <w:color w:val="13263F"/>
                <w:sz w:val="20"/>
                <w:szCs w:val="20"/>
              </w:rPr>
              <w:t>The person in a school responsible for co-ordinating provision for pupils with SEN/SEND.</w:t>
            </w:r>
          </w:p>
        </w:tc>
      </w:tr>
      <w:tr>
        <w:trPr>
          <w:cantSplit/>
        </w:trPr>
        <w:tc>
          <w:tcPr>
            <w:tcW w:w="2528" w:type="dxa"/>
            <w:shd w:val="clear" w:color="auto" w:fill="auto"/>
            <w:tcMar>
              <w:top w:w="113" w:type="dxa"/>
              <w:bottom w:w="113" w:type="dxa"/>
            </w:tcMar>
          </w:tcPr>
          <w:p>
            <w:pPr>
              <w:pStyle w:val="Text"/>
            </w:pPr>
            <w:hyperlink r:id="rId21" w:history="1">
              <w:r>
                <w:rPr>
                  <w:rStyle w:val="Hyperlink"/>
                  <w:shd w:val="clear" w:color="auto" w:fill="FFFFFF"/>
                </w:rPr>
                <w:t>SFVS</w:t>
              </w:r>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Schools financial value standard.</w:t>
            </w:r>
          </w:p>
          <w:p>
            <w:pPr>
              <w:pStyle w:val="NormalWeb"/>
              <w:shd w:val="clear" w:color="auto" w:fill="FFFFFF"/>
              <w:rPr>
                <w:rFonts w:ascii="Arial" w:hAnsi="Arial" w:cs="Arial"/>
                <w:color w:val="13263F"/>
                <w:sz w:val="20"/>
                <w:szCs w:val="20"/>
              </w:rPr>
            </w:pPr>
            <w:r>
              <w:rPr>
                <w:rFonts w:ascii="Arial" w:hAnsi="Arial" w:cs="Arial"/>
                <w:color w:val="13263F"/>
                <w:sz w:val="20"/>
                <w:szCs w:val="20"/>
              </w:rPr>
              <w:t>A self-assessment tool that helps schools evaluate and improve their financial management. All maintained schools must complete it and submit it to their local authority each year.</w:t>
            </w:r>
          </w:p>
        </w:tc>
      </w:tr>
      <w:tr>
        <w:trPr>
          <w:cantSplit/>
        </w:trPr>
        <w:tc>
          <w:tcPr>
            <w:tcW w:w="2528" w:type="dxa"/>
            <w:shd w:val="clear" w:color="auto" w:fill="auto"/>
            <w:tcMar>
              <w:top w:w="113" w:type="dxa"/>
              <w:bottom w:w="113" w:type="dxa"/>
            </w:tcMar>
          </w:tcPr>
          <w:p>
            <w:pPr>
              <w:pStyle w:val="Text"/>
            </w:pPr>
            <w:r>
              <w:rPr>
                <w:color w:val="13263F"/>
                <w:shd w:val="clear" w:color="auto" w:fill="FFFFFF"/>
              </w:rPr>
              <w:t>SLT</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Senior leadership team.</w:t>
            </w:r>
          </w:p>
          <w:p>
            <w:pPr>
              <w:pStyle w:val="NormalWeb"/>
              <w:shd w:val="clear" w:color="auto" w:fill="FFFFFF"/>
              <w:rPr>
                <w:rFonts w:ascii="Arial" w:hAnsi="Arial" w:cs="Arial"/>
                <w:color w:val="13263F"/>
                <w:sz w:val="20"/>
                <w:szCs w:val="20"/>
              </w:rPr>
            </w:pPr>
            <w:r>
              <w:rPr>
                <w:rFonts w:ascii="Arial" w:hAnsi="Arial" w:cs="Arial"/>
                <w:color w:val="13263F"/>
                <w:sz w:val="20"/>
                <w:szCs w:val="20"/>
              </w:rPr>
              <w:t>A group of senior members of staff who take care of the daily management of the school and can include the headteacher as well as assistant and deputy heads.</w:t>
            </w:r>
          </w:p>
        </w:tc>
      </w:tr>
      <w:tr>
        <w:trPr>
          <w:cantSplit/>
        </w:trPr>
        <w:tc>
          <w:tcPr>
            <w:tcW w:w="2528" w:type="dxa"/>
            <w:shd w:val="clear" w:color="auto" w:fill="auto"/>
            <w:tcMar>
              <w:top w:w="113" w:type="dxa"/>
              <w:bottom w:w="113" w:type="dxa"/>
            </w:tcMar>
          </w:tcPr>
          <w:p>
            <w:pPr>
              <w:pStyle w:val="Text"/>
              <w:rPr>
                <w:color w:val="13263F"/>
                <w:shd w:val="clear" w:color="auto" w:fill="FFFFFF"/>
              </w:rPr>
            </w:pPr>
            <w:hyperlink r:id="rId22" w:history="1">
              <w:proofErr w:type="spellStart"/>
              <w:r>
                <w:rPr>
                  <w:rStyle w:val="Hyperlink"/>
                  <w:shd w:val="clear" w:color="auto" w:fill="FFFFFF"/>
                </w:rPr>
                <w:t>SoD</w:t>
              </w:r>
              <w:proofErr w:type="spellEnd"/>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Scheme of delegation.</w:t>
            </w:r>
          </w:p>
          <w:p>
            <w:pPr>
              <w:pStyle w:val="NormalWeb"/>
              <w:shd w:val="clear" w:color="auto" w:fill="FFFFFF"/>
              <w:rPr>
                <w:rFonts w:ascii="Arial" w:hAnsi="Arial" w:cs="Arial"/>
                <w:color w:val="13263F"/>
                <w:sz w:val="20"/>
                <w:szCs w:val="20"/>
              </w:rPr>
            </w:pPr>
            <w:r>
              <w:rPr>
                <w:rFonts w:ascii="Arial" w:hAnsi="Arial" w:cs="Arial"/>
                <w:color w:val="13263F"/>
                <w:sz w:val="20"/>
                <w:szCs w:val="20"/>
              </w:rPr>
              <w:t>A document created by a governing board or trust board to set out what it has delegated to its committees or individuals.</w:t>
            </w:r>
          </w:p>
        </w:tc>
      </w:tr>
      <w:tr>
        <w:trPr>
          <w:cantSplit/>
        </w:trPr>
        <w:tc>
          <w:tcPr>
            <w:tcW w:w="2528" w:type="dxa"/>
            <w:shd w:val="clear" w:color="auto" w:fill="auto"/>
            <w:tcMar>
              <w:top w:w="113" w:type="dxa"/>
              <w:bottom w:w="113" w:type="dxa"/>
            </w:tcMar>
          </w:tcPr>
          <w:p>
            <w:pPr>
              <w:pStyle w:val="Text"/>
              <w:rPr>
                <w:color w:val="13263F"/>
                <w:shd w:val="clear" w:color="auto" w:fill="FFFFFF"/>
              </w:rPr>
            </w:pPr>
            <w:hyperlink r:id="rId23" w:history="1">
              <w:r>
                <w:rPr>
                  <w:rStyle w:val="Hyperlink"/>
                  <w:shd w:val="clear" w:color="auto" w:fill="FFFFFF"/>
                </w:rPr>
                <w:t>STEM</w:t>
              </w:r>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Science, technology, engineering and maths.</w:t>
            </w:r>
          </w:p>
          <w:p>
            <w:pPr>
              <w:pStyle w:val="NormalWeb"/>
              <w:shd w:val="clear" w:color="auto" w:fill="FFFFFF"/>
              <w:rPr>
                <w:rFonts w:ascii="Arial" w:hAnsi="Arial" w:cs="Arial"/>
                <w:color w:val="13263F"/>
                <w:sz w:val="20"/>
                <w:szCs w:val="20"/>
              </w:rPr>
            </w:pPr>
            <w:r>
              <w:rPr>
                <w:rFonts w:ascii="Arial" w:hAnsi="Arial" w:cs="Arial"/>
                <w:color w:val="13263F"/>
                <w:sz w:val="20"/>
                <w:szCs w:val="20"/>
              </w:rPr>
              <w:t xml:space="preserve">Subjects often grouped together when talking about career direction, or (lack of) diversity in a field.   </w:t>
            </w:r>
          </w:p>
        </w:tc>
      </w:tr>
      <w:tr>
        <w:trPr>
          <w:cantSplit/>
        </w:trPr>
        <w:tc>
          <w:tcPr>
            <w:tcW w:w="2528" w:type="dxa"/>
            <w:shd w:val="clear" w:color="auto" w:fill="auto"/>
            <w:tcMar>
              <w:top w:w="113" w:type="dxa"/>
              <w:bottom w:w="113" w:type="dxa"/>
            </w:tcMar>
          </w:tcPr>
          <w:p>
            <w:pPr>
              <w:pStyle w:val="Text"/>
            </w:pPr>
            <w:r>
              <w:rPr>
                <w:color w:val="13263F"/>
                <w:shd w:val="clear" w:color="auto" w:fill="FFFFFF"/>
              </w:rPr>
              <w:t>STPCD</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School Teachers’ Pay and Conditions Document.</w:t>
            </w:r>
          </w:p>
          <w:p>
            <w:pPr>
              <w:pStyle w:val="NormalWeb"/>
              <w:shd w:val="clear" w:color="auto" w:fill="FFFFFF"/>
              <w:rPr>
                <w:rFonts w:ascii="Arial" w:hAnsi="Arial" w:cs="Arial"/>
                <w:color w:val="13263F"/>
                <w:sz w:val="20"/>
                <w:szCs w:val="20"/>
              </w:rPr>
            </w:pPr>
            <w:r>
              <w:rPr>
                <w:rFonts w:ascii="Arial" w:hAnsi="Arial" w:cs="Arial"/>
                <w:color w:val="13263F"/>
                <w:sz w:val="20"/>
                <w:szCs w:val="20"/>
              </w:rPr>
              <w:t>Sets out the statutory requirements for teachers’ pay and conditions that maintained schools must follow.</w:t>
            </w:r>
          </w:p>
          <w:p>
            <w:pPr>
              <w:pStyle w:val="NormalWeb"/>
              <w:shd w:val="clear" w:color="auto" w:fill="FFFFFF"/>
              <w:rPr>
                <w:rFonts w:ascii="Arial" w:hAnsi="Arial" w:cs="Arial"/>
                <w:color w:val="13263F"/>
                <w:sz w:val="20"/>
                <w:szCs w:val="20"/>
              </w:rPr>
            </w:pPr>
            <w:r>
              <w:rPr>
                <w:rFonts w:ascii="Arial" w:hAnsi="Arial" w:cs="Arial"/>
                <w:color w:val="13263F"/>
                <w:sz w:val="20"/>
                <w:szCs w:val="20"/>
              </w:rPr>
              <w:t>It covers areas including pay ranges and progression, pay allowances, professional responsibilities and working time arrangements. It's updated annually.</w:t>
            </w:r>
          </w:p>
        </w:tc>
      </w:tr>
      <w:tr>
        <w:trPr>
          <w:cantSplit/>
        </w:trPr>
        <w:tc>
          <w:tcPr>
            <w:tcW w:w="2528" w:type="dxa"/>
            <w:shd w:val="clear" w:color="auto" w:fill="auto"/>
            <w:tcMar>
              <w:top w:w="113" w:type="dxa"/>
              <w:bottom w:w="113" w:type="dxa"/>
            </w:tcMar>
          </w:tcPr>
          <w:p>
            <w:pPr>
              <w:pStyle w:val="Text"/>
              <w:rPr>
                <w:color w:val="13263F"/>
                <w:shd w:val="clear" w:color="auto" w:fill="FFFFFF"/>
              </w:rPr>
            </w:pPr>
            <w:r>
              <w:rPr>
                <w:color w:val="13263F"/>
                <w:shd w:val="clear" w:color="auto" w:fill="FFFFFF"/>
              </w:rPr>
              <w:t>TA</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Teaching assistant.</w:t>
            </w:r>
          </w:p>
          <w:p>
            <w:pPr>
              <w:pStyle w:val="NormalWeb"/>
              <w:shd w:val="clear" w:color="auto" w:fill="FFFFFF"/>
              <w:rPr>
                <w:rFonts w:ascii="Arial" w:hAnsi="Arial" w:cs="Arial"/>
                <w:color w:val="13263F"/>
                <w:sz w:val="20"/>
                <w:szCs w:val="20"/>
              </w:rPr>
            </w:pPr>
            <w:r>
              <w:rPr>
                <w:rFonts w:ascii="Arial" w:hAnsi="Arial" w:cs="Arial"/>
                <w:color w:val="13263F"/>
                <w:sz w:val="20"/>
                <w:szCs w:val="20"/>
              </w:rPr>
              <w:t>Staff who support children with their learning activities in the classroom, and work closely with teachers to help pupils learn.</w:t>
            </w:r>
          </w:p>
        </w:tc>
      </w:tr>
      <w:tr>
        <w:trPr>
          <w:cantSplit/>
        </w:trPr>
        <w:tc>
          <w:tcPr>
            <w:tcW w:w="2528" w:type="dxa"/>
            <w:shd w:val="clear" w:color="auto" w:fill="auto"/>
            <w:tcMar>
              <w:top w:w="113" w:type="dxa"/>
              <w:bottom w:w="113" w:type="dxa"/>
            </w:tcMar>
          </w:tcPr>
          <w:p>
            <w:pPr>
              <w:pStyle w:val="Text"/>
              <w:rPr>
                <w:color w:val="13263F"/>
                <w:shd w:val="clear" w:color="auto" w:fill="FFFFFF"/>
              </w:rPr>
            </w:pPr>
            <w:r>
              <w:rPr>
                <w:color w:val="13263F"/>
                <w:shd w:val="clear" w:color="auto" w:fill="FFFFFF"/>
              </w:rPr>
              <w:t>TLR</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Teaching and learning responsibility.</w:t>
            </w:r>
          </w:p>
          <w:p>
            <w:pPr>
              <w:pStyle w:val="NormalWeb"/>
              <w:shd w:val="clear" w:color="auto" w:fill="FFFFFF"/>
              <w:rPr>
                <w:rFonts w:ascii="Arial" w:hAnsi="Arial" w:cs="Arial"/>
                <w:color w:val="13263F"/>
                <w:sz w:val="20"/>
                <w:szCs w:val="20"/>
              </w:rPr>
            </w:pPr>
            <w:r>
              <w:rPr>
                <w:rFonts w:ascii="Arial" w:hAnsi="Arial" w:cs="Arial"/>
                <w:color w:val="13263F"/>
                <w:sz w:val="20"/>
                <w:szCs w:val="20"/>
              </w:rPr>
              <w:t>An additional payment made to some teachers who take on extra responsibilities related to teaching and learning.</w:t>
            </w:r>
          </w:p>
        </w:tc>
      </w:tr>
      <w:tr>
        <w:trPr>
          <w:cantSplit/>
        </w:trPr>
        <w:tc>
          <w:tcPr>
            <w:tcW w:w="2528" w:type="dxa"/>
            <w:shd w:val="clear" w:color="auto" w:fill="auto"/>
            <w:tcMar>
              <w:top w:w="113" w:type="dxa"/>
              <w:bottom w:w="113" w:type="dxa"/>
            </w:tcMar>
          </w:tcPr>
          <w:p>
            <w:pPr>
              <w:pStyle w:val="Text"/>
              <w:rPr>
                <w:color w:val="13263F"/>
                <w:shd w:val="clear" w:color="auto" w:fill="FFFFFF"/>
              </w:rPr>
            </w:pPr>
            <w:hyperlink r:id="rId24" w:history="1">
              <w:r>
                <w:rPr>
                  <w:rStyle w:val="Hyperlink"/>
                  <w:shd w:val="clear" w:color="auto" w:fill="FFFFFF"/>
                </w:rPr>
                <w:t>UK GDPR</w:t>
              </w:r>
            </w:hyperlink>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The UK General Data Protection Regulation.</w:t>
            </w:r>
          </w:p>
          <w:p>
            <w:pPr>
              <w:pStyle w:val="NormalWeb"/>
              <w:shd w:val="clear" w:color="auto" w:fill="FFFFFF"/>
              <w:rPr>
                <w:rFonts w:ascii="Arial" w:hAnsi="Arial" w:cs="Arial"/>
                <w:color w:val="13263F"/>
                <w:sz w:val="20"/>
                <w:szCs w:val="20"/>
              </w:rPr>
            </w:pPr>
            <w:r>
              <w:rPr>
                <w:rFonts w:ascii="Arial" w:hAnsi="Arial" w:cs="Arial"/>
                <w:color w:val="13263F"/>
                <w:sz w:val="20"/>
                <w:szCs w:val="20"/>
              </w:rPr>
              <w:t>The law that governs data protection in the UK. It sets out how people's personal data is processed and kept safe, and the legal rights individuals have over their own data.</w:t>
            </w:r>
          </w:p>
        </w:tc>
      </w:tr>
      <w:tr>
        <w:trPr>
          <w:cantSplit/>
        </w:trPr>
        <w:tc>
          <w:tcPr>
            <w:tcW w:w="2528" w:type="dxa"/>
            <w:shd w:val="clear" w:color="auto" w:fill="auto"/>
            <w:tcMar>
              <w:top w:w="113" w:type="dxa"/>
              <w:bottom w:w="113" w:type="dxa"/>
            </w:tcMar>
          </w:tcPr>
          <w:p>
            <w:pPr>
              <w:pStyle w:val="Text"/>
            </w:pPr>
            <w:r>
              <w:rPr>
                <w:color w:val="13263F"/>
                <w:shd w:val="clear" w:color="auto" w:fill="FFFFFF"/>
              </w:rPr>
              <w:t>VA</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Voluntary aided.</w:t>
            </w:r>
          </w:p>
          <w:p>
            <w:pPr>
              <w:pStyle w:val="NormalWeb"/>
              <w:shd w:val="clear" w:color="auto" w:fill="FFFFFF"/>
              <w:rPr>
                <w:rFonts w:ascii="Arial" w:hAnsi="Arial" w:cs="Arial"/>
                <w:color w:val="13263F"/>
                <w:sz w:val="20"/>
                <w:szCs w:val="20"/>
              </w:rPr>
            </w:pPr>
            <w:r>
              <w:rPr>
                <w:rFonts w:ascii="Arial" w:hAnsi="Arial" w:cs="Arial"/>
                <w:color w:val="13263F"/>
                <w:sz w:val="20"/>
                <w:szCs w:val="20"/>
              </w:rPr>
              <w:t>A type of school where the governing board is the employer and is responsible for admissions. They are usually faith schools, and the religious group owns the school's land and buildings and has a majority of members on the governing board.</w:t>
            </w:r>
          </w:p>
        </w:tc>
      </w:tr>
      <w:tr>
        <w:trPr>
          <w:cantSplit/>
        </w:trPr>
        <w:tc>
          <w:tcPr>
            <w:tcW w:w="2528" w:type="dxa"/>
            <w:shd w:val="clear" w:color="auto" w:fill="auto"/>
            <w:tcMar>
              <w:top w:w="113" w:type="dxa"/>
              <w:bottom w:w="113" w:type="dxa"/>
            </w:tcMar>
          </w:tcPr>
          <w:p>
            <w:pPr>
              <w:pStyle w:val="Text"/>
              <w:rPr>
                <w:color w:val="13263F"/>
                <w:shd w:val="clear" w:color="auto" w:fill="FFFFFF"/>
              </w:rPr>
            </w:pPr>
            <w:r>
              <w:rPr>
                <w:color w:val="13263F"/>
                <w:shd w:val="clear" w:color="auto" w:fill="FFFFFF"/>
              </w:rPr>
              <w:t>VC</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Voluntary controlled.</w:t>
            </w:r>
          </w:p>
          <w:p>
            <w:pPr>
              <w:pStyle w:val="NormalWeb"/>
              <w:shd w:val="clear" w:color="auto" w:fill="FFFFFF"/>
              <w:rPr>
                <w:rFonts w:ascii="Arial" w:hAnsi="Arial" w:cs="Arial"/>
                <w:color w:val="13263F"/>
                <w:sz w:val="20"/>
                <w:szCs w:val="20"/>
              </w:rPr>
            </w:pPr>
            <w:r>
              <w:rPr>
                <w:rFonts w:ascii="Arial" w:hAnsi="Arial" w:cs="Arial"/>
                <w:color w:val="13263F"/>
                <w:sz w:val="20"/>
                <w:szCs w:val="20"/>
              </w:rPr>
              <w:t>The school has close links with a religious or other organisation that owns the land and buildings and has input into what the school does, but the local authority is the employer and is responsible for admissions.</w:t>
            </w:r>
          </w:p>
        </w:tc>
      </w:tr>
      <w:tr>
        <w:trPr>
          <w:cantSplit/>
        </w:trPr>
        <w:tc>
          <w:tcPr>
            <w:tcW w:w="2528" w:type="dxa"/>
            <w:shd w:val="clear" w:color="auto" w:fill="auto"/>
            <w:tcMar>
              <w:top w:w="113" w:type="dxa"/>
              <w:bottom w:w="113" w:type="dxa"/>
            </w:tcMar>
          </w:tcPr>
          <w:p>
            <w:pPr>
              <w:pStyle w:val="Text"/>
              <w:rPr>
                <w:color w:val="13263F"/>
                <w:shd w:val="clear" w:color="auto" w:fill="FFFFFF"/>
              </w:rPr>
            </w:pPr>
            <w:r>
              <w:rPr>
                <w:color w:val="13263F"/>
                <w:shd w:val="clear" w:color="auto" w:fill="FFFFFF"/>
              </w:rPr>
              <w:t>VSH</w:t>
            </w:r>
          </w:p>
        </w:tc>
        <w:tc>
          <w:tcPr>
            <w:tcW w:w="7100" w:type="dxa"/>
            <w:shd w:val="clear" w:color="auto" w:fill="auto"/>
            <w:tcMar>
              <w:top w:w="113" w:type="dxa"/>
              <w:bottom w:w="113" w:type="dxa"/>
            </w:tcMar>
          </w:tcPr>
          <w:p>
            <w:pPr>
              <w:pStyle w:val="NormalWeb"/>
              <w:shd w:val="clear" w:color="auto" w:fill="FFFFFF"/>
              <w:rPr>
                <w:rFonts w:ascii="Arial" w:hAnsi="Arial" w:cs="Arial"/>
                <w:color w:val="13263F"/>
                <w:sz w:val="20"/>
                <w:szCs w:val="20"/>
              </w:rPr>
            </w:pPr>
            <w:r>
              <w:rPr>
                <w:rFonts w:ascii="Arial" w:hAnsi="Arial" w:cs="Arial"/>
                <w:color w:val="13263F"/>
                <w:sz w:val="20"/>
                <w:szCs w:val="20"/>
              </w:rPr>
              <w:t>Virtual school head.</w:t>
            </w:r>
          </w:p>
          <w:p>
            <w:pPr>
              <w:pStyle w:val="NormalWeb"/>
              <w:shd w:val="clear" w:color="auto" w:fill="FFFFFF"/>
              <w:rPr>
                <w:rFonts w:ascii="Arial" w:hAnsi="Arial" w:cs="Arial"/>
                <w:color w:val="13263F"/>
                <w:sz w:val="20"/>
                <w:szCs w:val="20"/>
              </w:rPr>
            </w:pPr>
            <w:r>
              <w:rPr>
                <w:rFonts w:ascii="Arial" w:hAnsi="Arial" w:cs="Arial"/>
                <w:color w:val="13263F"/>
                <w:sz w:val="20"/>
                <w:szCs w:val="20"/>
              </w:rPr>
              <w:t>A senior leader in the local authority responsible for promoting the educational achievement of children in care.</w:t>
            </w:r>
          </w:p>
        </w:tc>
      </w:tr>
    </w:tbl>
    <w:p>
      <w:pPr>
        <w:pStyle w:val="6Boxheading"/>
        <w:rPr>
          <w:rFonts w:cs="Arial"/>
          <w:b w:val="0"/>
          <w:color w:val="auto"/>
          <w:sz w:val="20"/>
          <w:szCs w:val="20"/>
        </w:rPr>
      </w:pPr>
    </w:p>
    <w:sectPr>
      <w:headerReference w:type="even" r:id="rId25"/>
      <w:headerReference w:type="default" r:id="rId26"/>
      <w:footerReference w:type="default" r:id="rId27"/>
      <w:headerReference w:type="first" r:id="rId28"/>
      <w:footerReference w:type="first" r:id="rId29"/>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Black">
    <w:altName w:val="Cambria"/>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noProof/>
      </w:rPr>
    </w:pPr>
    <w:r>
      <w:rPr>
        <w:color w:val="auto"/>
      </w:rPr>
      <w:t>Page</w:t>
    </w:r>
    <w:r>
      <w:rPr>
        <w:b/>
        <w:color w:val="008FE1"/>
      </w:rPr>
      <w:t xml:space="preserve"> |</w:t>
    </w:r>
    <w:r>
      <w:rPr>
        <w:color w:val="008FE1"/>
      </w:rPr>
      <w:t xml:space="preserve"> </w:t>
    </w:r>
    <w:r>
      <w:rPr>
        <w:color w:val="auto"/>
      </w:rPr>
      <w:fldChar w:fldCharType="begin"/>
    </w:r>
    <w:r>
      <w:rPr>
        <w:color w:val="auto"/>
      </w:rPr>
      <w:instrText xml:space="preserve"> PAGE   \* MERGEFORMAT </w:instrText>
    </w:r>
    <w:r>
      <w:rPr>
        <w:color w:val="auto"/>
      </w:rPr>
      <w:fldChar w:fldCharType="separate"/>
    </w:r>
    <w:r>
      <w:rPr>
        <w:noProof/>
        <w:color w:val="auto"/>
      </w:rPr>
      <w:t>2</w:t>
    </w:r>
    <w:r>
      <w:rPr>
        <w:noProof/>
        <w:color w:val="auto"/>
      </w:rPr>
      <w:fldChar w:fldCharType="end"/>
    </w:r>
  </w:p>
  <w:p>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tc>
        <w:tcPr>
          <w:tcW w:w="6379" w:type="dxa"/>
          <w:tcBorders>
            <w:top w:val="single" w:sz="4" w:space="0" w:color="008FE1"/>
          </w:tcBorders>
          <w:shd w:val="clear" w:color="auto" w:fill="auto"/>
        </w:tcPr>
        <w:p>
          <w:pPr>
            <w:shd w:val="clear" w:color="auto" w:fill="FFFFFF"/>
            <w:textAlignment w:val="baseline"/>
            <w:rPr>
              <w:rFonts w:eastAsia="Times New Roman" w:cs="Arial"/>
              <w:color w:val="7C7C7C"/>
              <w:sz w:val="16"/>
              <w:szCs w:val="16"/>
            </w:rPr>
          </w:pPr>
          <w:r>
            <w:rPr>
              <w:rFonts w:cs="Arial"/>
              <w:color w:val="7C7C7C"/>
              <w:sz w:val="16"/>
              <w:szCs w:val="16"/>
            </w:rPr>
            <w:t xml:space="preserve">© </w:t>
          </w:r>
          <w:r>
            <w:rPr>
              <w:color w:val="7C7C7C"/>
              <w:sz w:val="16"/>
              <w:szCs w:val="16"/>
            </w:rPr>
            <w:t xml:space="preserve">The Key </w:t>
          </w:r>
          <w:r>
            <w:rPr>
              <w:color w:val="7C7C7C"/>
              <w:sz w:val="16"/>
              <w:szCs w:val="16"/>
              <w:highlight w:val="white"/>
            </w:rPr>
            <w:t>Support</w:t>
          </w:r>
          <w:r>
            <w:rPr>
              <w:color w:val="7C7C7C"/>
              <w:sz w:val="16"/>
              <w:szCs w:val="16"/>
            </w:rPr>
            <w:t xml:space="preserve"> Services Ltd | </w:t>
          </w:r>
          <w:hyperlink r:id="rId1">
            <w:r>
              <w:rPr>
                <w:color w:val="1155CC"/>
                <w:sz w:val="16"/>
                <w:szCs w:val="16"/>
                <w:u w:val="single"/>
              </w:rPr>
              <w:t>www.governorhub.com</w:t>
            </w:r>
          </w:hyperlink>
        </w:p>
      </w:tc>
      <w:tc>
        <w:tcPr>
          <w:tcW w:w="3402" w:type="dxa"/>
          <w:tcBorders>
            <w:top w:val="single" w:sz="4" w:space="0" w:color="008FE1"/>
          </w:tcBorders>
        </w:tcPr>
        <w:p>
          <w:pPr>
            <w:shd w:val="clear" w:color="auto" w:fill="FFFFFF"/>
            <w:jc w:val="right"/>
            <w:textAlignment w:val="baseline"/>
            <w:rPr>
              <w:rFonts w:eastAsia="Times New Roman" w:cs="Arial"/>
              <w:color w:val="BFBFBF"/>
              <w:sz w:val="17"/>
              <w:szCs w:val="17"/>
              <w:bdr w:val="none" w:sz="0" w:space="0" w:color="auto" w:frame="1"/>
            </w:rPr>
          </w:pPr>
          <w:r>
            <w:rPr>
              <w:noProof/>
            </w:rPr>
            <w:drawing>
              <wp:inline distT="0" distB="0" distL="0" distR="0">
                <wp:extent cx="1371600" cy="364490"/>
                <wp:effectExtent l="0" t="0" r="0" b="0"/>
                <wp:docPr id="76963193" name="Picture 7696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stretch>
                          <a:fillRect/>
                        </a:stretch>
                      </pic:blipFill>
                      <pic:spPr>
                        <a:xfrm>
                          <a:off x="0" y="0"/>
                          <a:ext cx="1371600" cy="364490"/>
                        </a:xfrm>
                        <a:prstGeom prst="rect">
                          <a:avLst/>
                        </a:prstGeom>
                      </pic:spPr>
                    </pic:pic>
                  </a:graphicData>
                </a:graphic>
              </wp:inline>
            </w:drawing>
          </w:r>
        </w:p>
      </w:tc>
    </w:tr>
  </w:tbl>
  <w:p>
    <w:pPr>
      <w:pStyle w:val="Footer"/>
    </w:pP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7"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8.5pt;height:332.25pt;visibility:visible;mso-wrap-style:square" o:bullet="t">
        <v:imagedata r:id="rId1" o:title=""/>
      </v:shape>
    </w:pict>
  </w:numPicBullet>
  <w:numPicBullet w:numPicBulletId="1">
    <w:pict>
      <v:shape id="_x0000_i1032" type="#_x0000_t75" style="width:36.75pt;height:30pt;visibility:visible;mso-wrap-style:square" o:bullet="t">
        <v:imagedata r:id="rId2" o:title=""/>
      </v:shape>
    </w:pict>
  </w:numPicBullet>
  <w:numPicBullet w:numPicBulletId="2">
    <w:pict>
      <v:shape id="_x0000_i1033" type="#_x0000_t75" style="width:30pt;height:30pt;visibility:visible;mso-wrap-style:square" o:bullet="t">
        <v:imagedata r:id="rId3" o:title=""/>
      </v:shape>
    </w:pict>
  </w:numPicBullet>
  <w:numPicBullet w:numPicBulletId="3">
    <w:pict>
      <v:shape id="_x0000_i1034" type="#_x0000_t75" style="width:208.5pt;height:332.25pt;visibility:visible;mso-wrap-style:square" o:bullet="t">
        <v:imagedata r:id="rId4" o:title=""/>
      </v:shape>
    </w:pict>
  </w:numPicBullet>
  <w:numPicBullet w:numPicBulletId="4">
    <w:pict>
      <v:shape id="_x0000_i1035" type="#_x0000_t75" style="width:208.5pt;height:332.25pt;visibility:visible;mso-wrap-style:square" o:bullet="t">
        <v:imagedata r:id="rId5" o:titl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88D40"/>
    <w:multiLevelType w:val="multilevel"/>
    <w:tmpl w:val="0134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549F76"/>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6F92A9EE"/>
    <w:lvl w:ilvl="0" w:tplc="8ABE3642">
      <w:start w:val="1"/>
      <w:numFmt w:val="bullet"/>
      <w:pStyle w:val="3Bulletedcopypink"/>
      <w:lvlText w:val="&gt;"/>
      <w:lvlJc w:val="left"/>
      <w:pPr>
        <w:ind w:left="530" w:hanging="360"/>
      </w:pPr>
      <w:rPr>
        <w:rFonts w:ascii="Amasis MT Pro Black" w:hAnsi="Amasis MT Pro Black" w:hint="default"/>
        <w:b w:val="0"/>
        <w:i w:val="0"/>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02656"/>
    <w:multiLevelType w:val="hybridMultilevel"/>
    <w:tmpl w:val="0E981DE0"/>
    <w:lvl w:ilvl="0" w:tplc="B79A3704">
      <w:start w:val="1"/>
      <w:numFmt w:val="bullet"/>
      <w:pStyle w:val="3Bulletedcopyblue"/>
      <w:lvlText w:val=""/>
      <w:lvlPicBulletId w:val="4"/>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6"/>
  </w:num>
  <w:num w:numId="15">
    <w:abstractNumId w:val="12"/>
  </w:num>
  <w:num w:numId="16">
    <w:abstractNumId w:val="23"/>
  </w:num>
  <w:num w:numId="17">
    <w:abstractNumId w:val="27"/>
  </w:num>
  <w:num w:numId="18">
    <w:abstractNumId w:val="17"/>
  </w:num>
  <w:num w:numId="19">
    <w:abstractNumId w:val="19"/>
  </w:num>
  <w:num w:numId="20">
    <w:abstractNumId w:val="18"/>
  </w:num>
  <w:num w:numId="21">
    <w:abstractNumId w:val="24"/>
  </w:num>
  <w:num w:numId="22">
    <w:abstractNumId w:val="16"/>
  </w:num>
  <w:num w:numId="23">
    <w:abstractNumId w:val="13"/>
  </w:num>
  <w:num w:numId="24">
    <w:abstractNumId w:val="25"/>
  </w:num>
  <w:num w:numId="25">
    <w:abstractNumId w:val="30"/>
  </w:num>
  <w:num w:numId="26">
    <w:abstractNumId w:val="21"/>
  </w:num>
  <w:num w:numId="27">
    <w:abstractNumId w:val="28"/>
  </w:num>
  <w:num w:numId="28">
    <w:abstractNumId w:val="29"/>
  </w:num>
  <w:num w:numId="29">
    <w:abstractNumId w:val="20"/>
  </w:num>
  <w:num w:numId="30">
    <w:abstractNumId w:val="18"/>
  </w:num>
  <w:num w:numId="31">
    <w:abstractNumId w:val="24"/>
  </w:num>
  <w:num w:numId="32">
    <w:abstractNumId w:val="18"/>
  </w:num>
  <w:num w:numId="33">
    <w:abstractNumId w:val="24"/>
  </w:num>
  <w:num w:numId="34">
    <w:abstractNumId w:val="12"/>
  </w:num>
  <w:num w:numId="35">
    <w:abstractNumId w:val="23"/>
  </w:num>
  <w:num w:numId="36">
    <w:abstractNumId w:val="29"/>
  </w:num>
  <w:num w:numId="37">
    <w:abstractNumId w:val="18"/>
    <w:lvlOverride w:ilvl="0">
      <w:startOverride w:val="1"/>
    </w:lvlOverride>
  </w:num>
  <w:num w:numId="38">
    <w:abstractNumId w:val="24"/>
    <w:lvlOverride w:ilvl="0">
      <w:startOverride w:val="1"/>
    </w:lvlOverride>
  </w:num>
  <w:num w:numId="39">
    <w:abstractNumId w:val="18"/>
    <w:lvlOverride w:ilvl="0">
      <w:startOverride w:val="1"/>
    </w:lvlOverride>
  </w:num>
  <w:num w:numId="40">
    <w:abstractNumId w:val="1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ED061B3-FB80-CF43-90CE-C4A2FD1A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MS Mincho"/>
      <w:szCs w:val="24"/>
      <w:lang w:val="en-US" w:eastAsia="en-US"/>
    </w:rPr>
  </w:style>
  <w:style w:type="paragraph" w:styleId="Heading1">
    <w:name w:val="heading 1"/>
    <w:aliases w:val="The Key heading,The Key Heading"/>
    <w:basedOn w:val="Normal"/>
    <w:next w:val="5Abstract"/>
    <w:link w:val="Heading1Char"/>
    <w:uiPriority w:val="9"/>
    <w:qFormat/>
    <w:pPr>
      <w:spacing w:after="240"/>
      <w:outlineLvl w:val="0"/>
    </w:pPr>
    <w:rPr>
      <w:rFonts w:eastAsia="Calibri" w:cs="Arial"/>
      <w:b/>
      <w:color w:val="008FE1"/>
      <w:sz w:val="60"/>
      <w:szCs w:val="36"/>
      <w:lang w:val="en-GB"/>
    </w:rPr>
  </w:style>
  <w:style w:type="paragraph" w:styleId="Heading3">
    <w:name w:val="heading 3"/>
    <w:basedOn w:val="Normal"/>
    <w:next w:val="Normal"/>
    <w:link w:val="Heading3Char"/>
    <w:uiPriority w:val="9"/>
    <w:qFormat/>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Pr>
      <w:rFonts w:eastAsia="Calibri" w:cs="Arial"/>
      <w:b/>
      <w:color w:val="008FE1"/>
      <w:sz w:val="60"/>
      <w:szCs w:val="36"/>
      <w:lang w:eastAsia="en-US"/>
    </w:rPr>
  </w:style>
  <w:style w:type="character" w:customStyle="1" w:styleId="Heading3Char">
    <w:name w:val="Heading 3 Char"/>
    <w:link w:val="Heading3"/>
    <w:uiPriority w:val="9"/>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Pr>
      <w:color w:val="0072CC"/>
      <w:u w:val="single"/>
    </w:rPr>
  </w:style>
  <w:style w:type="paragraph" w:customStyle="1" w:styleId="1bodycopy">
    <w:name w:val="1 body copy"/>
    <w:basedOn w:val="Normal"/>
    <w:link w:val="1bodycopyChar"/>
    <w:qFormat/>
    <w:pPr>
      <w:spacing w:after="120"/>
    </w:pPr>
    <w:rPr>
      <w:sz w:val="22"/>
    </w:rPr>
  </w:style>
  <w:style w:type="paragraph" w:customStyle="1" w:styleId="3Bulletedcopypink">
    <w:name w:val="3 Bulleted copy pink &gt;"/>
    <w:basedOn w:val="1bodycopy"/>
    <w:qFormat/>
    <w:pPr>
      <w:numPr>
        <w:numId w:val="32"/>
      </w:numPr>
    </w:pPr>
    <w:rPr>
      <w:rFonts w:cs="Arial"/>
      <w:szCs w:val="20"/>
    </w:rPr>
  </w:style>
  <w:style w:type="paragraph" w:customStyle="1" w:styleId="2Subheadblue">
    <w:name w:val="2 Subhead blue"/>
    <w:next w:val="1bodycopy"/>
    <w:qFormat/>
    <w:pPr>
      <w:spacing w:before="360" w:after="120" w:line="259" w:lineRule="auto"/>
    </w:pPr>
    <w:rPr>
      <w:rFonts w:eastAsia="MS Mincho" w:cs="Arial"/>
      <w:b/>
      <w:color w:val="008FE1"/>
      <w:sz w:val="32"/>
      <w:szCs w:val="32"/>
      <w:lang w:val="en-US" w:eastAsia="en-US"/>
    </w:rPr>
  </w:style>
  <w:style w:type="paragraph" w:customStyle="1" w:styleId="SlugTheKey">
    <w:name w:val="Slug The Key"/>
    <w:next w:val="Normal"/>
    <w:qFormat/>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pPr>
      <w:spacing w:after="480"/>
    </w:pPr>
  </w:style>
  <w:style w:type="paragraph" w:customStyle="1" w:styleId="8DONTsbullet">
    <w:name w:val="8 DON'Ts bullet"/>
    <w:basedOn w:val="3Bulletedcopypink"/>
    <w:pPr>
      <w:numPr>
        <w:numId w:val="35"/>
      </w:numPr>
      <w:suppressAutoHyphens/>
    </w:pPr>
    <w:rPr>
      <w:b/>
      <w:sz w:val="24"/>
    </w:rPr>
  </w:style>
  <w:style w:type="paragraph" w:customStyle="1" w:styleId="6DOsbullet">
    <w:name w:val="6 DOs bullet"/>
    <w:basedOn w:val="3Bulletedcopypink"/>
    <w:pPr>
      <w:numPr>
        <w:numId w:val="34"/>
      </w:numPr>
    </w:pPr>
    <w:rPr>
      <w:b/>
      <w:sz w:val="24"/>
    </w:rPr>
  </w:style>
  <w:style w:type="paragraph" w:customStyle="1" w:styleId="3Bulletedcopyblue">
    <w:name w:val="3 Bulleted copy blue"/>
    <w:basedOn w:val="3Bulletedcopypink"/>
    <w:qFormat/>
    <w:pPr>
      <w:numPr>
        <w:numId w:val="33"/>
      </w:numPr>
    </w:pPr>
  </w:style>
  <w:style w:type="paragraph" w:customStyle="1" w:styleId="6Boxheading">
    <w:name w:val="6 Box heading"/>
    <w:basedOn w:val="Normal"/>
    <w:qFormat/>
    <w:pPr>
      <w:spacing w:after="120"/>
    </w:pPr>
    <w:rPr>
      <w:b/>
      <w:color w:val="12263F"/>
      <w:sz w:val="24"/>
    </w:rPr>
  </w:style>
  <w:style w:type="paragraph" w:customStyle="1" w:styleId="8Secondbullet">
    <w:name w:val="8 Second bullet"/>
    <w:basedOn w:val="1bodycopy"/>
    <w:link w:val="8SecondbulletChar"/>
    <w:qFormat/>
    <w:pPr>
      <w:numPr>
        <w:numId w:val="28"/>
      </w:numPr>
      <w:ind w:right="567"/>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1bodycopyChar">
    <w:name w:val="1 body copy Char"/>
    <w:link w:val="1bodycopy"/>
    <w:rPr>
      <w:rFonts w:eastAsia="MS Mincho"/>
      <w:sz w:val="22"/>
      <w:szCs w:val="24"/>
      <w:lang w:val="en-US" w:eastAsia="en-US"/>
    </w:rPr>
  </w:style>
  <w:style w:type="character" w:customStyle="1" w:styleId="8SecondbulletChar">
    <w:name w:val="8 Second bullet Char"/>
    <w:link w:val="8Secondbullet"/>
    <w:rPr>
      <w:rFonts w:eastAsia="MS Mincho"/>
      <w:sz w:val="22"/>
      <w:szCs w:val="24"/>
      <w:lang w:val="en-US" w:eastAsia="en-US"/>
    </w:rPr>
  </w:style>
  <w:style w:type="character" w:customStyle="1" w:styleId="BalloonTextChar">
    <w:name w:val="Balloon Text Char"/>
    <w:link w:val="BalloonText"/>
    <w:uiPriority w:val="99"/>
    <w:semiHidden/>
    <w:rPr>
      <w:rFonts w:ascii="Segoe UI" w:eastAsia="MS Mincho" w:hAnsi="Segoe UI" w:cs="Segoe UI"/>
      <w:sz w:val="18"/>
      <w:szCs w:val="18"/>
      <w:lang w:val="en-US"/>
    </w:rPr>
  </w:style>
  <w:style w:type="character" w:styleId="Strong">
    <w:name w:val="Strong"/>
    <w:uiPriority w:val="22"/>
    <w:rPr>
      <w:b/>
      <w:bCs/>
    </w:rPr>
  </w:style>
  <w:style w:type="paragraph" w:customStyle="1" w:styleId="5Abstract">
    <w:name w:val="5 Abstract"/>
    <w:qFormat/>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Pr>
      <w:rFonts w:cs="Arial"/>
      <w:color w:val="FFFFFF"/>
      <w:szCs w:val="20"/>
    </w:rPr>
  </w:style>
  <w:style w:type="character" w:customStyle="1" w:styleId="7TableHeadingChar">
    <w:name w:val="7 Table Heading Char"/>
    <w:link w:val="7TableHeading"/>
    <w:rPr>
      <w:rFonts w:eastAsia="MS Mincho" w:cs="Arial"/>
      <w:color w:val="FFFFFF"/>
      <w:lang w:val="en-US" w:eastAsia="en-US"/>
    </w:rPr>
  </w:style>
  <w:style w:type="paragraph" w:customStyle="1" w:styleId="9Bodycopyitalic">
    <w:name w:val="9 Body copy italic"/>
    <w:basedOn w:val="Normal"/>
    <w:qFormat/>
    <w:pPr>
      <w:spacing w:after="120"/>
      <w:ind w:right="284"/>
    </w:pPr>
    <w:rPr>
      <w:i/>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eKeytableblue">
    <w:name w:val="The Key table blue"/>
    <w:basedOn w:val="TableNormal"/>
    <w:uiPriority w:val="99"/>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single" w:sz="4" w:space="0" w:color="12263F"/>
          <w:left w:val="single" w:sz="4" w:space="0" w:color="12263F"/>
          <w:bottom w:val="single" w:sz="4" w:space="0" w:color="12263F"/>
          <w:right w:val="single" w:sz="4" w:space="0" w:color="12263F"/>
          <w:insideH w:val="single" w:sz="4" w:space="0" w:color="F8F8F8"/>
          <w:insideV w:val="single" w:sz="4" w:space="0" w:color="F8F8F8"/>
          <w:tl2br w:val="nil"/>
          <w:tr2bl w:val="nil"/>
        </w:tcBorders>
        <w:shd w:val="clear" w:color="auto" w:fill="12263F"/>
      </w:tcPr>
    </w:tblStylePr>
  </w:style>
  <w:style w:type="table" w:customStyle="1" w:styleId="Style1">
    <w:name w:val="Style1"/>
    <w:basedOn w:val="TheKeytableblue"/>
    <w:uiPriority w:val="99"/>
    <w:tblPr/>
    <w:tblStylePr w:type="firstRow">
      <w:rPr>
        <w:rFonts w:ascii="Arial" w:hAnsi="Arial"/>
        <w:b/>
        <w:i w:val="0"/>
        <w:caps/>
        <w:smallCaps w:val="0"/>
        <w:strike w:val="0"/>
        <w:dstrike w:val="0"/>
        <w:vanish w:val="0"/>
        <w:color w:val="F8F8F8"/>
        <w:sz w:val="20"/>
        <w:vertAlign w:val="baseline"/>
      </w:rPr>
      <w:tblPr/>
      <w:tcPr>
        <w:tcBorders>
          <w:top w:val="nil"/>
          <w:left w:val="single" w:sz="4" w:space="0" w:color="FF1F64"/>
          <w:bottom w:val="nil"/>
          <w:right w:val="single" w:sz="4" w:space="0" w:color="FF1F64"/>
          <w:insideH w:val="nil"/>
          <w:insideV w:val="nil"/>
          <w:tl2br w:val="nil"/>
          <w:tr2bl w:val="nil"/>
        </w:tcBorders>
        <w:shd w:val="clear" w:color="auto" w:fill="FF1F64"/>
      </w:tcPr>
    </w:tblStylePr>
  </w:style>
  <w:style w:type="paragraph" w:customStyle="1" w:styleId="7Tablebodycopy">
    <w:name w:val="7 Table body copy"/>
    <w:basedOn w:val="1bodycopy"/>
    <w:qFormat/>
    <w:pPr>
      <w:spacing w:after="60"/>
    </w:pPr>
    <w:rPr>
      <w:sz w:val="20"/>
    </w:rPr>
  </w:style>
  <w:style w:type="paragraph" w:customStyle="1" w:styleId="9Secondbullet">
    <w:name w:val="9 Second bullet"/>
    <w:basedOn w:val="1bodycopy"/>
    <w:link w:val="9SecondbulletChar"/>
    <w:qFormat/>
    <w:pPr>
      <w:ind w:left="567" w:right="567" w:hanging="210"/>
    </w:pPr>
  </w:style>
  <w:style w:type="character" w:customStyle="1" w:styleId="9SecondbulletChar">
    <w:name w:val="9 Second bullet Char"/>
    <w:link w:val="9Secondbullet"/>
    <w:rPr>
      <w:rFonts w:eastAsia="MS Mincho"/>
      <w:sz w:val="22"/>
      <w:szCs w:val="24"/>
      <w:lang w:val="en-US" w:eastAsia="en-U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lang w:val="en-GB" w:eastAsia="en-GB"/>
    </w:rPr>
  </w:style>
  <w:style w:type="paragraph" w:customStyle="1" w:styleId="TKbodycopy">
    <w:name w:val="TK body copy"/>
    <w:basedOn w:val="Normal"/>
    <w:link w:val="TKbodycopyChar"/>
    <w:pPr>
      <w:spacing w:after="120"/>
      <w:ind w:right="284"/>
    </w:pPr>
  </w:style>
  <w:style w:type="character" w:customStyle="1" w:styleId="TKbodycopyChar">
    <w:name w:val="TK body copy Char"/>
    <w:link w:val="TKbodycopy"/>
    <w:rPr>
      <w:rFonts w:eastAsia="MS Mincho"/>
      <w:szCs w:val="24"/>
      <w:lang w:val="en-US" w:eastAsia="en-US"/>
    </w:rPr>
  </w:style>
  <w:style w:type="paragraph" w:customStyle="1" w:styleId="Text">
    <w:name w:val="Text"/>
    <w:basedOn w:val="BodyText"/>
    <w:link w:val="TextChar"/>
    <w:rPr>
      <w:rFonts w:cs="Arial"/>
      <w:szCs w:val="20"/>
    </w:rPr>
  </w:style>
  <w:style w:type="character" w:customStyle="1" w:styleId="TextChar">
    <w:name w:val="Text Char"/>
    <w:link w:val="Text"/>
    <w:rPr>
      <w:rFonts w:eastAsia="MS Mincho" w:cs="Arial"/>
      <w:lang w:val="en-US" w:eastAsia="en-US"/>
    </w:rPr>
  </w:style>
  <w:style w:type="paragraph" w:customStyle="1" w:styleId="7Tablecopybulleted">
    <w:name w:val="7 Table copy bulleted"/>
    <w:qFormat/>
    <w:pPr>
      <w:numPr>
        <w:numId w:val="41"/>
      </w:numPr>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eastAsia="MS Mincho"/>
      <w:szCs w:val="24"/>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eastAsia="MS Mincho"/>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528">
      <w:bodyDiv w:val="1"/>
      <w:marLeft w:val="0"/>
      <w:marRight w:val="0"/>
      <w:marTop w:val="0"/>
      <w:marBottom w:val="0"/>
      <w:divBdr>
        <w:top w:val="none" w:sz="0" w:space="0" w:color="auto"/>
        <w:left w:val="none" w:sz="0" w:space="0" w:color="auto"/>
        <w:bottom w:val="none" w:sz="0" w:space="0" w:color="auto"/>
        <w:right w:val="none" w:sz="0" w:space="0" w:color="auto"/>
      </w:divBdr>
    </w:div>
    <w:div w:id="41638676">
      <w:bodyDiv w:val="1"/>
      <w:marLeft w:val="0"/>
      <w:marRight w:val="0"/>
      <w:marTop w:val="0"/>
      <w:marBottom w:val="0"/>
      <w:divBdr>
        <w:top w:val="none" w:sz="0" w:space="0" w:color="auto"/>
        <w:left w:val="none" w:sz="0" w:space="0" w:color="auto"/>
        <w:bottom w:val="none" w:sz="0" w:space="0" w:color="auto"/>
        <w:right w:val="none" w:sz="0" w:space="0" w:color="auto"/>
      </w:divBdr>
    </w:div>
    <w:div w:id="82844823">
      <w:bodyDiv w:val="1"/>
      <w:marLeft w:val="0"/>
      <w:marRight w:val="0"/>
      <w:marTop w:val="0"/>
      <w:marBottom w:val="0"/>
      <w:divBdr>
        <w:top w:val="none" w:sz="0" w:space="0" w:color="auto"/>
        <w:left w:val="none" w:sz="0" w:space="0" w:color="auto"/>
        <w:bottom w:val="none" w:sz="0" w:space="0" w:color="auto"/>
        <w:right w:val="none" w:sz="0" w:space="0" w:color="auto"/>
      </w:divBdr>
    </w:div>
    <w:div w:id="90517183">
      <w:bodyDiv w:val="1"/>
      <w:marLeft w:val="0"/>
      <w:marRight w:val="0"/>
      <w:marTop w:val="0"/>
      <w:marBottom w:val="0"/>
      <w:divBdr>
        <w:top w:val="none" w:sz="0" w:space="0" w:color="auto"/>
        <w:left w:val="none" w:sz="0" w:space="0" w:color="auto"/>
        <w:bottom w:val="none" w:sz="0" w:space="0" w:color="auto"/>
        <w:right w:val="none" w:sz="0" w:space="0" w:color="auto"/>
      </w:divBdr>
    </w:div>
    <w:div w:id="104271148">
      <w:bodyDiv w:val="1"/>
      <w:marLeft w:val="0"/>
      <w:marRight w:val="0"/>
      <w:marTop w:val="0"/>
      <w:marBottom w:val="0"/>
      <w:divBdr>
        <w:top w:val="none" w:sz="0" w:space="0" w:color="auto"/>
        <w:left w:val="none" w:sz="0" w:space="0" w:color="auto"/>
        <w:bottom w:val="none" w:sz="0" w:space="0" w:color="auto"/>
        <w:right w:val="none" w:sz="0" w:space="0" w:color="auto"/>
      </w:divBdr>
    </w:div>
    <w:div w:id="107165688">
      <w:bodyDiv w:val="1"/>
      <w:marLeft w:val="0"/>
      <w:marRight w:val="0"/>
      <w:marTop w:val="0"/>
      <w:marBottom w:val="0"/>
      <w:divBdr>
        <w:top w:val="none" w:sz="0" w:space="0" w:color="auto"/>
        <w:left w:val="none" w:sz="0" w:space="0" w:color="auto"/>
        <w:bottom w:val="none" w:sz="0" w:space="0" w:color="auto"/>
        <w:right w:val="none" w:sz="0" w:space="0" w:color="auto"/>
      </w:divBdr>
    </w:div>
    <w:div w:id="114301634">
      <w:bodyDiv w:val="1"/>
      <w:marLeft w:val="0"/>
      <w:marRight w:val="0"/>
      <w:marTop w:val="0"/>
      <w:marBottom w:val="0"/>
      <w:divBdr>
        <w:top w:val="none" w:sz="0" w:space="0" w:color="auto"/>
        <w:left w:val="none" w:sz="0" w:space="0" w:color="auto"/>
        <w:bottom w:val="none" w:sz="0" w:space="0" w:color="auto"/>
        <w:right w:val="none" w:sz="0" w:space="0" w:color="auto"/>
      </w:divBdr>
    </w:div>
    <w:div w:id="129321589">
      <w:bodyDiv w:val="1"/>
      <w:marLeft w:val="0"/>
      <w:marRight w:val="0"/>
      <w:marTop w:val="0"/>
      <w:marBottom w:val="0"/>
      <w:divBdr>
        <w:top w:val="none" w:sz="0" w:space="0" w:color="auto"/>
        <w:left w:val="none" w:sz="0" w:space="0" w:color="auto"/>
        <w:bottom w:val="none" w:sz="0" w:space="0" w:color="auto"/>
        <w:right w:val="none" w:sz="0" w:space="0" w:color="auto"/>
      </w:divBdr>
    </w:div>
    <w:div w:id="185219817">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31812831">
      <w:bodyDiv w:val="1"/>
      <w:marLeft w:val="0"/>
      <w:marRight w:val="0"/>
      <w:marTop w:val="0"/>
      <w:marBottom w:val="0"/>
      <w:divBdr>
        <w:top w:val="none" w:sz="0" w:space="0" w:color="auto"/>
        <w:left w:val="none" w:sz="0" w:space="0" w:color="auto"/>
        <w:bottom w:val="none" w:sz="0" w:space="0" w:color="auto"/>
        <w:right w:val="none" w:sz="0" w:space="0" w:color="auto"/>
      </w:divBdr>
    </w:div>
    <w:div w:id="243996241">
      <w:bodyDiv w:val="1"/>
      <w:marLeft w:val="0"/>
      <w:marRight w:val="0"/>
      <w:marTop w:val="0"/>
      <w:marBottom w:val="0"/>
      <w:divBdr>
        <w:top w:val="none" w:sz="0" w:space="0" w:color="auto"/>
        <w:left w:val="none" w:sz="0" w:space="0" w:color="auto"/>
        <w:bottom w:val="none" w:sz="0" w:space="0" w:color="auto"/>
        <w:right w:val="none" w:sz="0" w:space="0" w:color="auto"/>
      </w:divBdr>
    </w:div>
    <w:div w:id="270286608">
      <w:bodyDiv w:val="1"/>
      <w:marLeft w:val="0"/>
      <w:marRight w:val="0"/>
      <w:marTop w:val="0"/>
      <w:marBottom w:val="0"/>
      <w:divBdr>
        <w:top w:val="none" w:sz="0" w:space="0" w:color="auto"/>
        <w:left w:val="none" w:sz="0" w:space="0" w:color="auto"/>
        <w:bottom w:val="none" w:sz="0" w:space="0" w:color="auto"/>
        <w:right w:val="none" w:sz="0" w:space="0" w:color="auto"/>
      </w:divBdr>
    </w:div>
    <w:div w:id="354892416">
      <w:bodyDiv w:val="1"/>
      <w:marLeft w:val="0"/>
      <w:marRight w:val="0"/>
      <w:marTop w:val="0"/>
      <w:marBottom w:val="0"/>
      <w:divBdr>
        <w:top w:val="none" w:sz="0" w:space="0" w:color="auto"/>
        <w:left w:val="none" w:sz="0" w:space="0" w:color="auto"/>
        <w:bottom w:val="none" w:sz="0" w:space="0" w:color="auto"/>
        <w:right w:val="none" w:sz="0" w:space="0" w:color="auto"/>
      </w:divBdr>
    </w:div>
    <w:div w:id="380640987">
      <w:bodyDiv w:val="1"/>
      <w:marLeft w:val="0"/>
      <w:marRight w:val="0"/>
      <w:marTop w:val="0"/>
      <w:marBottom w:val="0"/>
      <w:divBdr>
        <w:top w:val="none" w:sz="0" w:space="0" w:color="auto"/>
        <w:left w:val="none" w:sz="0" w:space="0" w:color="auto"/>
        <w:bottom w:val="none" w:sz="0" w:space="0" w:color="auto"/>
        <w:right w:val="none" w:sz="0" w:space="0" w:color="auto"/>
      </w:divBdr>
    </w:div>
    <w:div w:id="388505925">
      <w:bodyDiv w:val="1"/>
      <w:marLeft w:val="0"/>
      <w:marRight w:val="0"/>
      <w:marTop w:val="0"/>
      <w:marBottom w:val="0"/>
      <w:divBdr>
        <w:top w:val="none" w:sz="0" w:space="0" w:color="auto"/>
        <w:left w:val="none" w:sz="0" w:space="0" w:color="auto"/>
        <w:bottom w:val="none" w:sz="0" w:space="0" w:color="auto"/>
        <w:right w:val="none" w:sz="0" w:space="0" w:color="auto"/>
      </w:divBdr>
    </w:div>
    <w:div w:id="403918297">
      <w:bodyDiv w:val="1"/>
      <w:marLeft w:val="0"/>
      <w:marRight w:val="0"/>
      <w:marTop w:val="0"/>
      <w:marBottom w:val="0"/>
      <w:divBdr>
        <w:top w:val="none" w:sz="0" w:space="0" w:color="auto"/>
        <w:left w:val="none" w:sz="0" w:space="0" w:color="auto"/>
        <w:bottom w:val="none" w:sz="0" w:space="0" w:color="auto"/>
        <w:right w:val="none" w:sz="0" w:space="0" w:color="auto"/>
      </w:divBdr>
    </w:div>
    <w:div w:id="438179194">
      <w:bodyDiv w:val="1"/>
      <w:marLeft w:val="0"/>
      <w:marRight w:val="0"/>
      <w:marTop w:val="0"/>
      <w:marBottom w:val="0"/>
      <w:divBdr>
        <w:top w:val="none" w:sz="0" w:space="0" w:color="auto"/>
        <w:left w:val="none" w:sz="0" w:space="0" w:color="auto"/>
        <w:bottom w:val="none" w:sz="0" w:space="0" w:color="auto"/>
        <w:right w:val="none" w:sz="0" w:space="0" w:color="auto"/>
      </w:divBdr>
    </w:div>
    <w:div w:id="530268955">
      <w:bodyDiv w:val="1"/>
      <w:marLeft w:val="0"/>
      <w:marRight w:val="0"/>
      <w:marTop w:val="0"/>
      <w:marBottom w:val="0"/>
      <w:divBdr>
        <w:top w:val="none" w:sz="0" w:space="0" w:color="auto"/>
        <w:left w:val="none" w:sz="0" w:space="0" w:color="auto"/>
        <w:bottom w:val="none" w:sz="0" w:space="0" w:color="auto"/>
        <w:right w:val="none" w:sz="0" w:space="0" w:color="auto"/>
      </w:divBdr>
    </w:div>
    <w:div w:id="556210997">
      <w:bodyDiv w:val="1"/>
      <w:marLeft w:val="0"/>
      <w:marRight w:val="0"/>
      <w:marTop w:val="0"/>
      <w:marBottom w:val="0"/>
      <w:divBdr>
        <w:top w:val="none" w:sz="0" w:space="0" w:color="auto"/>
        <w:left w:val="none" w:sz="0" w:space="0" w:color="auto"/>
        <w:bottom w:val="none" w:sz="0" w:space="0" w:color="auto"/>
        <w:right w:val="none" w:sz="0" w:space="0" w:color="auto"/>
      </w:divBdr>
    </w:div>
    <w:div w:id="574048979">
      <w:bodyDiv w:val="1"/>
      <w:marLeft w:val="0"/>
      <w:marRight w:val="0"/>
      <w:marTop w:val="0"/>
      <w:marBottom w:val="0"/>
      <w:divBdr>
        <w:top w:val="none" w:sz="0" w:space="0" w:color="auto"/>
        <w:left w:val="none" w:sz="0" w:space="0" w:color="auto"/>
        <w:bottom w:val="none" w:sz="0" w:space="0" w:color="auto"/>
        <w:right w:val="none" w:sz="0" w:space="0" w:color="auto"/>
      </w:divBdr>
    </w:div>
    <w:div w:id="58484511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10376993">
      <w:bodyDiv w:val="1"/>
      <w:marLeft w:val="0"/>
      <w:marRight w:val="0"/>
      <w:marTop w:val="0"/>
      <w:marBottom w:val="0"/>
      <w:divBdr>
        <w:top w:val="none" w:sz="0" w:space="0" w:color="auto"/>
        <w:left w:val="none" w:sz="0" w:space="0" w:color="auto"/>
        <w:bottom w:val="none" w:sz="0" w:space="0" w:color="auto"/>
        <w:right w:val="none" w:sz="0" w:space="0" w:color="auto"/>
      </w:divBdr>
    </w:div>
    <w:div w:id="802309950">
      <w:bodyDiv w:val="1"/>
      <w:marLeft w:val="0"/>
      <w:marRight w:val="0"/>
      <w:marTop w:val="0"/>
      <w:marBottom w:val="0"/>
      <w:divBdr>
        <w:top w:val="none" w:sz="0" w:space="0" w:color="auto"/>
        <w:left w:val="none" w:sz="0" w:space="0" w:color="auto"/>
        <w:bottom w:val="none" w:sz="0" w:space="0" w:color="auto"/>
        <w:right w:val="none" w:sz="0" w:space="0" w:color="auto"/>
      </w:divBdr>
    </w:div>
    <w:div w:id="813957798">
      <w:bodyDiv w:val="1"/>
      <w:marLeft w:val="0"/>
      <w:marRight w:val="0"/>
      <w:marTop w:val="0"/>
      <w:marBottom w:val="0"/>
      <w:divBdr>
        <w:top w:val="none" w:sz="0" w:space="0" w:color="auto"/>
        <w:left w:val="none" w:sz="0" w:space="0" w:color="auto"/>
        <w:bottom w:val="none" w:sz="0" w:space="0" w:color="auto"/>
        <w:right w:val="none" w:sz="0" w:space="0" w:color="auto"/>
      </w:divBdr>
    </w:div>
    <w:div w:id="816386019">
      <w:bodyDiv w:val="1"/>
      <w:marLeft w:val="0"/>
      <w:marRight w:val="0"/>
      <w:marTop w:val="0"/>
      <w:marBottom w:val="0"/>
      <w:divBdr>
        <w:top w:val="none" w:sz="0" w:space="0" w:color="auto"/>
        <w:left w:val="none" w:sz="0" w:space="0" w:color="auto"/>
        <w:bottom w:val="none" w:sz="0" w:space="0" w:color="auto"/>
        <w:right w:val="none" w:sz="0" w:space="0" w:color="auto"/>
      </w:divBdr>
    </w:div>
    <w:div w:id="826439084">
      <w:bodyDiv w:val="1"/>
      <w:marLeft w:val="0"/>
      <w:marRight w:val="0"/>
      <w:marTop w:val="0"/>
      <w:marBottom w:val="0"/>
      <w:divBdr>
        <w:top w:val="none" w:sz="0" w:space="0" w:color="auto"/>
        <w:left w:val="none" w:sz="0" w:space="0" w:color="auto"/>
        <w:bottom w:val="none" w:sz="0" w:space="0" w:color="auto"/>
        <w:right w:val="none" w:sz="0" w:space="0" w:color="auto"/>
      </w:divBdr>
    </w:div>
    <w:div w:id="857622705">
      <w:bodyDiv w:val="1"/>
      <w:marLeft w:val="0"/>
      <w:marRight w:val="0"/>
      <w:marTop w:val="0"/>
      <w:marBottom w:val="0"/>
      <w:divBdr>
        <w:top w:val="none" w:sz="0" w:space="0" w:color="auto"/>
        <w:left w:val="none" w:sz="0" w:space="0" w:color="auto"/>
        <w:bottom w:val="none" w:sz="0" w:space="0" w:color="auto"/>
        <w:right w:val="none" w:sz="0" w:space="0" w:color="auto"/>
      </w:divBdr>
    </w:div>
    <w:div w:id="869682643">
      <w:bodyDiv w:val="1"/>
      <w:marLeft w:val="0"/>
      <w:marRight w:val="0"/>
      <w:marTop w:val="0"/>
      <w:marBottom w:val="0"/>
      <w:divBdr>
        <w:top w:val="none" w:sz="0" w:space="0" w:color="auto"/>
        <w:left w:val="none" w:sz="0" w:space="0" w:color="auto"/>
        <w:bottom w:val="none" w:sz="0" w:space="0" w:color="auto"/>
        <w:right w:val="none" w:sz="0" w:space="0" w:color="auto"/>
      </w:divBdr>
    </w:div>
    <w:div w:id="875310654">
      <w:bodyDiv w:val="1"/>
      <w:marLeft w:val="0"/>
      <w:marRight w:val="0"/>
      <w:marTop w:val="0"/>
      <w:marBottom w:val="0"/>
      <w:divBdr>
        <w:top w:val="none" w:sz="0" w:space="0" w:color="auto"/>
        <w:left w:val="none" w:sz="0" w:space="0" w:color="auto"/>
        <w:bottom w:val="none" w:sz="0" w:space="0" w:color="auto"/>
        <w:right w:val="none" w:sz="0" w:space="0" w:color="auto"/>
      </w:divBdr>
    </w:div>
    <w:div w:id="916861933">
      <w:bodyDiv w:val="1"/>
      <w:marLeft w:val="0"/>
      <w:marRight w:val="0"/>
      <w:marTop w:val="0"/>
      <w:marBottom w:val="0"/>
      <w:divBdr>
        <w:top w:val="none" w:sz="0" w:space="0" w:color="auto"/>
        <w:left w:val="none" w:sz="0" w:space="0" w:color="auto"/>
        <w:bottom w:val="none" w:sz="0" w:space="0" w:color="auto"/>
        <w:right w:val="none" w:sz="0" w:space="0" w:color="auto"/>
      </w:divBdr>
    </w:div>
    <w:div w:id="929703152">
      <w:bodyDiv w:val="1"/>
      <w:marLeft w:val="0"/>
      <w:marRight w:val="0"/>
      <w:marTop w:val="0"/>
      <w:marBottom w:val="0"/>
      <w:divBdr>
        <w:top w:val="none" w:sz="0" w:space="0" w:color="auto"/>
        <w:left w:val="none" w:sz="0" w:space="0" w:color="auto"/>
        <w:bottom w:val="none" w:sz="0" w:space="0" w:color="auto"/>
        <w:right w:val="none" w:sz="0" w:space="0" w:color="auto"/>
      </w:divBdr>
    </w:div>
    <w:div w:id="963584266">
      <w:bodyDiv w:val="1"/>
      <w:marLeft w:val="0"/>
      <w:marRight w:val="0"/>
      <w:marTop w:val="0"/>
      <w:marBottom w:val="0"/>
      <w:divBdr>
        <w:top w:val="none" w:sz="0" w:space="0" w:color="auto"/>
        <w:left w:val="none" w:sz="0" w:space="0" w:color="auto"/>
        <w:bottom w:val="none" w:sz="0" w:space="0" w:color="auto"/>
        <w:right w:val="none" w:sz="0" w:space="0" w:color="auto"/>
      </w:divBdr>
    </w:div>
    <w:div w:id="987631347">
      <w:bodyDiv w:val="1"/>
      <w:marLeft w:val="0"/>
      <w:marRight w:val="0"/>
      <w:marTop w:val="0"/>
      <w:marBottom w:val="0"/>
      <w:divBdr>
        <w:top w:val="none" w:sz="0" w:space="0" w:color="auto"/>
        <w:left w:val="none" w:sz="0" w:space="0" w:color="auto"/>
        <w:bottom w:val="none" w:sz="0" w:space="0" w:color="auto"/>
        <w:right w:val="none" w:sz="0" w:space="0" w:color="auto"/>
      </w:divBdr>
    </w:div>
    <w:div w:id="988292866">
      <w:bodyDiv w:val="1"/>
      <w:marLeft w:val="0"/>
      <w:marRight w:val="0"/>
      <w:marTop w:val="0"/>
      <w:marBottom w:val="0"/>
      <w:divBdr>
        <w:top w:val="none" w:sz="0" w:space="0" w:color="auto"/>
        <w:left w:val="none" w:sz="0" w:space="0" w:color="auto"/>
        <w:bottom w:val="none" w:sz="0" w:space="0" w:color="auto"/>
        <w:right w:val="none" w:sz="0" w:space="0" w:color="auto"/>
      </w:divBdr>
    </w:div>
    <w:div w:id="1089229886">
      <w:bodyDiv w:val="1"/>
      <w:marLeft w:val="0"/>
      <w:marRight w:val="0"/>
      <w:marTop w:val="0"/>
      <w:marBottom w:val="0"/>
      <w:divBdr>
        <w:top w:val="none" w:sz="0" w:space="0" w:color="auto"/>
        <w:left w:val="none" w:sz="0" w:space="0" w:color="auto"/>
        <w:bottom w:val="none" w:sz="0" w:space="0" w:color="auto"/>
        <w:right w:val="none" w:sz="0" w:space="0" w:color="auto"/>
      </w:divBdr>
    </w:div>
    <w:div w:id="1117678571">
      <w:bodyDiv w:val="1"/>
      <w:marLeft w:val="0"/>
      <w:marRight w:val="0"/>
      <w:marTop w:val="0"/>
      <w:marBottom w:val="0"/>
      <w:divBdr>
        <w:top w:val="none" w:sz="0" w:space="0" w:color="auto"/>
        <w:left w:val="none" w:sz="0" w:space="0" w:color="auto"/>
        <w:bottom w:val="none" w:sz="0" w:space="0" w:color="auto"/>
        <w:right w:val="none" w:sz="0" w:space="0" w:color="auto"/>
      </w:divBdr>
    </w:div>
    <w:div w:id="1164471821">
      <w:bodyDiv w:val="1"/>
      <w:marLeft w:val="0"/>
      <w:marRight w:val="0"/>
      <w:marTop w:val="0"/>
      <w:marBottom w:val="0"/>
      <w:divBdr>
        <w:top w:val="none" w:sz="0" w:space="0" w:color="auto"/>
        <w:left w:val="none" w:sz="0" w:space="0" w:color="auto"/>
        <w:bottom w:val="none" w:sz="0" w:space="0" w:color="auto"/>
        <w:right w:val="none" w:sz="0" w:space="0" w:color="auto"/>
      </w:divBdr>
    </w:div>
    <w:div w:id="1169712169">
      <w:bodyDiv w:val="1"/>
      <w:marLeft w:val="0"/>
      <w:marRight w:val="0"/>
      <w:marTop w:val="0"/>
      <w:marBottom w:val="0"/>
      <w:divBdr>
        <w:top w:val="none" w:sz="0" w:space="0" w:color="auto"/>
        <w:left w:val="none" w:sz="0" w:space="0" w:color="auto"/>
        <w:bottom w:val="none" w:sz="0" w:space="0" w:color="auto"/>
        <w:right w:val="none" w:sz="0" w:space="0" w:color="auto"/>
      </w:divBdr>
    </w:div>
    <w:div w:id="1174565469">
      <w:bodyDiv w:val="1"/>
      <w:marLeft w:val="0"/>
      <w:marRight w:val="0"/>
      <w:marTop w:val="0"/>
      <w:marBottom w:val="0"/>
      <w:divBdr>
        <w:top w:val="none" w:sz="0" w:space="0" w:color="auto"/>
        <w:left w:val="none" w:sz="0" w:space="0" w:color="auto"/>
        <w:bottom w:val="none" w:sz="0" w:space="0" w:color="auto"/>
        <w:right w:val="none" w:sz="0" w:space="0" w:color="auto"/>
      </w:divBdr>
    </w:div>
    <w:div w:id="1177228719">
      <w:bodyDiv w:val="1"/>
      <w:marLeft w:val="0"/>
      <w:marRight w:val="0"/>
      <w:marTop w:val="0"/>
      <w:marBottom w:val="0"/>
      <w:divBdr>
        <w:top w:val="none" w:sz="0" w:space="0" w:color="auto"/>
        <w:left w:val="none" w:sz="0" w:space="0" w:color="auto"/>
        <w:bottom w:val="none" w:sz="0" w:space="0" w:color="auto"/>
        <w:right w:val="none" w:sz="0" w:space="0" w:color="auto"/>
      </w:divBdr>
    </w:div>
    <w:div w:id="1183666010">
      <w:bodyDiv w:val="1"/>
      <w:marLeft w:val="0"/>
      <w:marRight w:val="0"/>
      <w:marTop w:val="0"/>
      <w:marBottom w:val="0"/>
      <w:divBdr>
        <w:top w:val="none" w:sz="0" w:space="0" w:color="auto"/>
        <w:left w:val="none" w:sz="0" w:space="0" w:color="auto"/>
        <w:bottom w:val="none" w:sz="0" w:space="0" w:color="auto"/>
        <w:right w:val="none" w:sz="0" w:space="0" w:color="auto"/>
      </w:divBdr>
    </w:div>
    <w:div w:id="1274557760">
      <w:bodyDiv w:val="1"/>
      <w:marLeft w:val="0"/>
      <w:marRight w:val="0"/>
      <w:marTop w:val="0"/>
      <w:marBottom w:val="0"/>
      <w:divBdr>
        <w:top w:val="none" w:sz="0" w:space="0" w:color="auto"/>
        <w:left w:val="none" w:sz="0" w:space="0" w:color="auto"/>
        <w:bottom w:val="none" w:sz="0" w:space="0" w:color="auto"/>
        <w:right w:val="none" w:sz="0" w:space="0" w:color="auto"/>
      </w:divBdr>
    </w:div>
    <w:div w:id="1278678232">
      <w:bodyDiv w:val="1"/>
      <w:marLeft w:val="0"/>
      <w:marRight w:val="0"/>
      <w:marTop w:val="0"/>
      <w:marBottom w:val="0"/>
      <w:divBdr>
        <w:top w:val="none" w:sz="0" w:space="0" w:color="auto"/>
        <w:left w:val="none" w:sz="0" w:space="0" w:color="auto"/>
        <w:bottom w:val="none" w:sz="0" w:space="0" w:color="auto"/>
        <w:right w:val="none" w:sz="0" w:space="0" w:color="auto"/>
      </w:divBdr>
    </w:div>
    <w:div w:id="1291788361">
      <w:bodyDiv w:val="1"/>
      <w:marLeft w:val="0"/>
      <w:marRight w:val="0"/>
      <w:marTop w:val="0"/>
      <w:marBottom w:val="0"/>
      <w:divBdr>
        <w:top w:val="none" w:sz="0" w:space="0" w:color="auto"/>
        <w:left w:val="none" w:sz="0" w:space="0" w:color="auto"/>
        <w:bottom w:val="none" w:sz="0" w:space="0" w:color="auto"/>
        <w:right w:val="none" w:sz="0" w:space="0" w:color="auto"/>
      </w:divBdr>
    </w:div>
    <w:div w:id="1298491844">
      <w:bodyDiv w:val="1"/>
      <w:marLeft w:val="0"/>
      <w:marRight w:val="0"/>
      <w:marTop w:val="0"/>
      <w:marBottom w:val="0"/>
      <w:divBdr>
        <w:top w:val="none" w:sz="0" w:space="0" w:color="auto"/>
        <w:left w:val="none" w:sz="0" w:space="0" w:color="auto"/>
        <w:bottom w:val="none" w:sz="0" w:space="0" w:color="auto"/>
        <w:right w:val="none" w:sz="0" w:space="0" w:color="auto"/>
      </w:divBdr>
    </w:div>
    <w:div w:id="1312446242">
      <w:bodyDiv w:val="1"/>
      <w:marLeft w:val="0"/>
      <w:marRight w:val="0"/>
      <w:marTop w:val="0"/>
      <w:marBottom w:val="0"/>
      <w:divBdr>
        <w:top w:val="none" w:sz="0" w:space="0" w:color="auto"/>
        <w:left w:val="none" w:sz="0" w:space="0" w:color="auto"/>
        <w:bottom w:val="none" w:sz="0" w:space="0" w:color="auto"/>
        <w:right w:val="none" w:sz="0" w:space="0" w:color="auto"/>
      </w:divBdr>
    </w:div>
    <w:div w:id="1314213521">
      <w:bodyDiv w:val="1"/>
      <w:marLeft w:val="0"/>
      <w:marRight w:val="0"/>
      <w:marTop w:val="0"/>
      <w:marBottom w:val="0"/>
      <w:divBdr>
        <w:top w:val="none" w:sz="0" w:space="0" w:color="auto"/>
        <w:left w:val="none" w:sz="0" w:space="0" w:color="auto"/>
        <w:bottom w:val="none" w:sz="0" w:space="0" w:color="auto"/>
        <w:right w:val="none" w:sz="0" w:space="0" w:color="auto"/>
      </w:divBdr>
    </w:div>
    <w:div w:id="1341815505">
      <w:bodyDiv w:val="1"/>
      <w:marLeft w:val="0"/>
      <w:marRight w:val="0"/>
      <w:marTop w:val="0"/>
      <w:marBottom w:val="0"/>
      <w:divBdr>
        <w:top w:val="none" w:sz="0" w:space="0" w:color="auto"/>
        <w:left w:val="none" w:sz="0" w:space="0" w:color="auto"/>
        <w:bottom w:val="none" w:sz="0" w:space="0" w:color="auto"/>
        <w:right w:val="none" w:sz="0" w:space="0" w:color="auto"/>
      </w:divBdr>
    </w:div>
    <w:div w:id="1381586022">
      <w:bodyDiv w:val="1"/>
      <w:marLeft w:val="0"/>
      <w:marRight w:val="0"/>
      <w:marTop w:val="0"/>
      <w:marBottom w:val="0"/>
      <w:divBdr>
        <w:top w:val="none" w:sz="0" w:space="0" w:color="auto"/>
        <w:left w:val="none" w:sz="0" w:space="0" w:color="auto"/>
        <w:bottom w:val="none" w:sz="0" w:space="0" w:color="auto"/>
        <w:right w:val="none" w:sz="0" w:space="0" w:color="auto"/>
      </w:divBdr>
    </w:div>
    <w:div w:id="1391659513">
      <w:bodyDiv w:val="1"/>
      <w:marLeft w:val="0"/>
      <w:marRight w:val="0"/>
      <w:marTop w:val="0"/>
      <w:marBottom w:val="0"/>
      <w:divBdr>
        <w:top w:val="none" w:sz="0" w:space="0" w:color="auto"/>
        <w:left w:val="none" w:sz="0" w:space="0" w:color="auto"/>
        <w:bottom w:val="none" w:sz="0" w:space="0" w:color="auto"/>
        <w:right w:val="none" w:sz="0" w:space="0" w:color="auto"/>
      </w:divBdr>
    </w:div>
    <w:div w:id="1405639405">
      <w:bodyDiv w:val="1"/>
      <w:marLeft w:val="0"/>
      <w:marRight w:val="0"/>
      <w:marTop w:val="0"/>
      <w:marBottom w:val="0"/>
      <w:divBdr>
        <w:top w:val="none" w:sz="0" w:space="0" w:color="auto"/>
        <w:left w:val="none" w:sz="0" w:space="0" w:color="auto"/>
        <w:bottom w:val="none" w:sz="0" w:space="0" w:color="auto"/>
        <w:right w:val="none" w:sz="0" w:space="0" w:color="auto"/>
      </w:divBdr>
    </w:div>
    <w:div w:id="1433164541">
      <w:bodyDiv w:val="1"/>
      <w:marLeft w:val="0"/>
      <w:marRight w:val="0"/>
      <w:marTop w:val="0"/>
      <w:marBottom w:val="0"/>
      <w:divBdr>
        <w:top w:val="none" w:sz="0" w:space="0" w:color="auto"/>
        <w:left w:val="none" w:sz="0" w:space="0" w:color="auto"/>
        <w:bottom w:val="none" w:sz="0" w:space="0" w:color="auto"/>
        <w:right w:val="none" w:sz="0" w:space="0" w:color="auto"/>
      </w:divBdr>
    </w:div>
    <w:div w:id="1436319230">
      <w:bodyDiv w:val="1"/>
      <w:marLeft w:val="0"/>
      <w:marRight w:val="0"/>
      <w:marTop w:val="0"/>
      <w:marBottom w:val="0"/>
      <w:divBdr>
        <w:top w:val="none" w:sz="0" w:space="0" w:color="auto"/>
        <w:left w:val="none" w:sz="0" w:space="0" w:color="auto"/>
        <w:bottom w:val="none" w:sz="0" w:space="0" w:color="auto"/>
        <w:right w:val="none" w:sz="0" w:space="0" w:color="auto"/>
      </w:divBdr>
    </w:div>
    <w:div w:id="1563909183">
      <w:bodyDiv w:val="1"/>
      <w:marLeft w:val="0"/>
      <w:marRight w:val="0"/>
      <w:marTop w:val="0"/>
      <w:marBottom w:val="0"/>
      <w:divBdr>
        <w:top w:val="none" w:sz="0" w:space="0" w:color="auto"/>
        <w:left w:val="none" w:sz="0" w:space="0" w:color="auto"/>
        <w:bottom w:val="none" w:sz="0" w:space="0" w:color="auto"/>
        <w:right w:val="none" w:sz="0" w:space="0" w:color="auto"/>
      </w:divBdr>
    </w:div>
    <w:div w:id="1612005442">
      <w:bodyDiv w:val="1"/>
      <w:marLeft w:val="0"/>
      <w:marRight w:val="0"/>
      <w:marTop w:val="0"/>
      <w:marBottom w:val="0"/>
      <w:divBdr>
        <w:top w:val="none" w:sz="0" w:space="0" w:color="auto"/>
        <w:left w:val="none" w:sz="0" w:space="0" w:color="auto"/>
        <w:bottom w:val="none" w:sz="0" w:space="0" w:color="auto"/>
        <w:right w:val="none" w:sz="0" w:space="0" w:color="auto"/>
      </w:divBdr>
    </w:div>
    <w:div w:id="1612013204">
      <w:bodyDiv w:val="1"/>
      <w:marLeft w:val="0"/>
      <w:marRight w:val="0"/>
      <w:marTop w:val="0"/>
      <w:marBottom w:val="0"/>
      <w:divBdr>
        <w:top w:val="none" w:sz="0" w:space="0" w:color="auto"/>
        <w:left w:val="none" w:sz="0" w:space="0" w:color="auto"/>
        <w:bottom w:val="none" w:sz="0" w:space="0" w:color="auto"/>
        <w:right w:val="none" w:sz="0" w:space="0" w:color="auto"/>
      </w:divBdr>
    </w:div>
    <w:div w:id="1616787126">
      <w:bodyDiv w:val="1"/>
      <w:marLeft w:val="0"/>
      <w:marRight w:val="0"/>
      <w:marTop w:val="0"/>
      <w:marBottom w:val="0"/>
      <w:divBdr>
        <w:top w:val="none" w:sz="0" w:space="0" w:color="auto"/>
        <w:left w:val="none" w:sz="0" w:space="0" w:color="auto"/>
        <w:bottom w:val="none" w:sz="0" w:space="0" w:color="auto"/>
        <w:right w:val="none" w:sz="0" w:space="0" w:color="auto"/>
      </w:divBdr>
    </w:div>
    <w:div w:id="1618633526">
      <w:bodyDiv w:val="1"/>
      <w:marLeft w:val="0"/>
      <w:marRight w:val="0"/>
      <w:marTop w:val="0"/>
      <w:marBottom w:val="0"/>
      <w:divBdr>
        <w:top w:val="none" w:sz="0" w:space="0" w:color="auto"/>
        <w:left w:val="none" w:sz="0" w:space="0" w:color="auto"/>
        <w:bottom w:val="none" w:sz="0" w:space="0" w:color="auto"/>
        <w:right w:val="none" w:sz="0" w:space="0" w:color="auto"/>
      </w:divBdr>
    </w:div>
    <w:div w:id="1648825566">
      <w:bodyDiv w:val="1"/>
      <w:marLeft w:val="0"/>
      <w:marRight w:val="0"/>
      <w:marTop w:val="0"/>
      <w:marBottom w:val="0"/>
      <w:divBdr>
        <w:top w:val="none" w:sz="0" w:space="0" w:color="auto"/>
        <w:left w:val="none" w:sz="0" w:space="0" w:color="auto"/>
        <w:bottom w:val="none" w:sz="0" w:space="0" w:color="auto"/>
        <w:right w:val="none" w:sz="0" w:space="0" w:color="auto"/>
      </w:divBdr>
    </w:div>
    <w:div w:id="1738629918">
      <w:bodyDiv w:val="1"/>
      <w:marLeft w:val="0"/>
      <w:marRight w:val="0"/>
      <w:marTop w:val="0"/>
      <w:marBottom w:val="0"/>
      <w:divBdr>
        <w:top w:val="none" w:sz="0" w:space="0" w:color="auto"/>
        <w:left w:val="none" w:sz="0" w:space="0" w:color="auto"/>
        <w:bottom w:val="none" w:sz="0" w:space="0" w:color="auto"/>
        <w:right w:val="none" w:sz="0" w:space="0" w:color="auto"/>
      </w:divBdr>
    </w:div>
    <w:div w:id="1748847180">
      <w:bodyDiv w:val="1"/>
      <w:marLeft w:val="0"/>
      <w:marRight w:val="0"/>
      <w:marTop w:val="0"/>
      <w:marBottom w:val="0"/>
      <w:divBdr>
        <w:top w:val="none" w:sz="0" w:space="0" w:color="auto"/>
        <w:left w:val="none" w:sz="0" w:space="0" w:color="auto"/>
        <w:bottom w:val="none" w:sz="0" w:space="0" w:color="auto"/>
        <w:right w:val="none" w:sz="0" w:space="0" w:color="auto"/>
      </w:divBdr>
    </w:div>
    <w:div w:id="1773863247">
      <w:bodyDiv w:val="1"/>
      <w:marLeft w:val="0"/>
      <w:marRight w:val="0"/>
      <w:marTop w:val="0"/>
      <w:marBottom w:val="0"/>
      <w:divBdr>
        <w:top w:val="none" w:sz="0" w:space="0" w:color="auto"/>
        <w:left w:val="none" w:sz="0" w:space="0" w:color="auto"/>
        <w:bottom w:val="none" w:sz="0" w:space="0" w:color="auto"/>
        <w:right w:val="none" w:sz="0" w:space="0" w:color="auto"/>
      </w:divBdr>
    </w:div>
    <w:div w:id="1817792899">
      <w:bodyDiv w:val="1"/>
      <w:marLeft w:val="0"/>
      <w:marRight w:val="0"/>
      <w:marTop w:val="0"/>
      <w:marBottom w:val="0"/>
      <w:divBdr>
        <w:top w:val="none" w:sz="0" w:space="0" w:color="auto"/>
        <w:left w:val="none" w:sz="0" w:space="0" w:color="auto"/>
        <w:bottom w:val="none" w:sz="0" w:space="0" w:color="auto"/>
        <w:right w:val="none" w:sz="0" w:space="0" w:color="auto"/>
      </w:divBdr>
    </w:div>
    <w:div w:id="1829246920">
      <w:bodyDiv w:val="1"/>
      <w:marLeft w:val="0"/>
      <w:marRight w:val="0"/>
      <w:marTop w:val="0"/>
      <w:marBottom w:val="0"/>
      <w:divBdr>
        <w:top w:val="none" w:sz="0" w:space="0" w:color="auto"/>
        <w:left w:val="none" w:sz="0" w:space="0" w:color="auto"/>
        <w:bottom w:val="none" w:sz="0" w:space="0" w:color="auto"/>
        <w:right w:val="none" w:sz="0" w:space="0" w:color="auto"/>
      </w:divBdr>
    </w:div>
    <w:div w:id="1835759820">
      <w:bodyDiv w:val="1"/>
      <w:marLeft w:val="0"/>
      <w:marRight w:val="0"/>
      <w:marTop w:val="0"/>
      <w:marBottom w:val="0"/>
      <w:divBdr>
        <w:top w:val="none" w:sz="0" w:space="0" w:color="auto"/>
        <w:left w:val="none" w:sz="0" w:space="0" w:color="auto"/>
        <w:bottom w:val="none" w:sz="0" w:space="0" w:color="auto"/>
        <w:right w:val="none" w:sz="0" w:space="0" w:color="auto"/>
      </w:divBdr>
    </w:div>
    <w:div w:id="1838763930">
      <w:bodyDiv w:val="1"/>
      <w:marLeft w:val="0"/>
      <w:marRight w:val="0"/>
      <w:marTop w:val="0"/>
      <w:marBottom w:val="0"/>
      <w:divBdr>
        <w:top w:val="none" w:sz="0" w:space="0" w:color="auto"/>
        <w:left w:val="none" w:sz="0" w:space="0" w:color="auto"/>
        <w:bottom w:val="none" w:sz="0" w:space="0" w:color="auto"/>
        <w:right w:val="none" w:sz="0" w:space="0" w:color="auto"/>
      </w:divBdr>
    </w:div>
    <w:div w:id="1953896648">
      <w:bodyDiv w:val="1"/>
      <w:marLeft w:val="0"/>
      <w:marRight w:val="0"/>
      <w:marTop w:val="0"/>
      <w:marBottom w:val="0"/>
      <w:divBdr>
        <w:top w:val="none" w:sz="0" w:space="0" w:color="auto"/>
        <w:left w:val="none" w:sz="0" w:space="0" w:color="auto"/>
        <w:bottom w:val="none" w:sz="0" w:space="0" w:color="auto"/>
        <w:right w:val="none" w:sz="0" w:space="0" w:color="auto"/>
      </w:divBdr>
    </w:div>
    <w:div w:id="20366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governors.thekeysupport.com/school-staff/staffing-structures-and-change/staff-roles-and-responsibilities/role-of-the-designated-safeguarding-lead/" TargetMode="External"/><Relationship Id="rId13" Type="http://schemas.openxmlformats.org/officeDocument/2006/relationships/hyperlink" Target="https://schoolgovernors.thekeysupport.com/curriculum-and-pupils/pastoral-care/equality-inclusion/lac-and-previously-lac-role-governors/" TargetMode="External"/><Relationship Id="rId18" Type="http://schemas.openxmlformats.org/officeDocument/2006/relationships/hyperlink" Target="https://schoolgovernors.thekeysupport.com/school-improvement-and-strategy/strategic-planning/school-improvement-planning/role-of-governors-in-school-improvement-plannin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olgovernors.thekeysupport.com/school-staff/school-finance/financial-monitoring-reporting/schools-financial-value-standard-sfvs-summary/" TargetMode="External"/><Relationship Id="rId7" Type="http://schemas.openxmlformats.org/officeDocument/2006/relationships/endnotes" Target="endnotes.xml"/><Relationship Id="rId12" Type="http://schemas.openxmlformats.org/officeDocument/2006/relationships/hyperlink" Target="https://schoolgovernors.thekeysupport.com/curriculum-and-pupils/pastoral-care/safeguarding/keeping-children-safe-in-education-summary/" TargetMode="External"/><Relationship Id="rId17" Type="http://schemas.openxmlformats.org/officeDocument/2006/relationships/hyperlink" Target="https://schoolgovernors.thekeysupport.com/curriculum-and-pupils/pastoral-care/safeguarding/governors-role-in-monitoring-the-sc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choolgovernors.thekeysupport.com/curriculum-and-pupils/curriculum/school-curriculum/governors-role-in-monitoring-rse/" TargetMode="External"/><Relationship Id="rId20" Type="http://schemas.openxmlformats.org/officeDocument/2006/relationships/hyperlink" Target="https://schoolgovernors.thekeysupport.com/school-staff/staffing-structures-and-change/staff-roles-and-responsibilities/special-educational-needs-co-ordinator-senc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governors.thekeysupport.com/curriculum-and-pupils/behaviour-attendance/discipline-exclusions/independent-review-hearings-governor-representation/" TargetMode="External"/><Relationship Id="rId24" Type="http://schemas.openxmlformats.org/officeDocument/2006/relationships/hyperlink" Target="https://schoolgovernors.thekeysupport.com/school-staff/data-protection-and-gdpr/general-data-protection-regulation/" TargetMode="External"/><Relationship Id="rId5" Type="http://schemas.openxmlformats.org/officeDocument/2006/relationships/webSettings" Target="webSettings.xml"/><Relationship Id="rId15" Type="http://schemas.openxmlformats.org/officeDocument/2006/relationships/hyperlink" Target="https://schoolgovernors.thekeysupport.com/school-staff/school-finance/school-funding/quickread-pupil-premium/" TargetMode="External"/><Relationship Id="rId23" Type="http://schemas.openxmlformats.org/officeDocument/2006/relationships/hyperlink" Target="https://schoolgovernors.thekeysupport.com/school-improvement-and-strategy/strategic-planning/values-ethos/how-to-make-stem-a-strategic-priority-in-your-school-or-trust/" TargetMode="External"/><Relationship Id="rId28" Type="http://schemas.openxmlformats.org/officeDocument/2006/relationships/header" Target="header3.xml"/><Relationship Id="rId10" Type="http://schemas.openxmlformats.org/officeDocument/2006/relationships/hyperlink" Target="https://schoolgovernors.thekeysupport.com/the-governing-body/meetings/meeting-procedures/extraordinary-meetings-of-the-governing-board/" TargetMode="External"/><Relationship Id="rId19" Type="http://schemas.openxmlformats.org/officeDocument/2006/relationships/hyperlink" Target="https://schoolgovernors.thekeysupport.com/curriculum-and-pupils/pastoral-care/send-provision/send-provis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hoolgovernors.thekeysupport.com/school-staff/staff-recruitment/recruitment-teachers/early-career-teacher-ect-induction-summary/" TargetMode="External"/><Relationship Id="rId14" Type="http://schemas.openxmlformats.org/officeDocument/2006/relationships/hyperlink" Target="https://schoolgovernors.thekeysupport.com/school-staff/school-finance/school-funding/national-funding-formula-summary/" TargetMode="External"/><Relationship Id="rId22" Type="http://schemas.openxmlformats.org/officeDocument/2006/relationships/hyperlink" Target="https://schoolgovernors.thekeysupport.com/academies-mats/academy-conversion/how-write-your-scheme-delegatio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www.governorhub.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BF7A4179-9655-44DF-BFC8-23932F6A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Links>
    <vt:vector size="12" baseType="variant">
      <vt:variant>
        <vt:i4>2293874</vt:i4>
      </vt:variant>
      <vt:variant>
        <vt:i4>6</vt:i4>
      </vt:variant>
      <vt:variant>
        <vt:i4>0</vt:i4>
      </vt:variant>
      <vt:variant>
        <vt:i4>5</vt:i4>
      </vt:variant>
      <vt:variant>
        <vt:lpwstr>http://www.governorhub.com/</vt:lpwstr>
      </vt:variant>
      <vt:variant>
        <vt:lpwstr/>
      </vt:variant>
      <vt:variant>
        <vt:i4>2293874</vt:i4>
      </vt:variant>
      <vt:variant>
        <vt:i4>0</vt:i4>
      </vt:variant>
      <vt:variant>
        <vt:i4>0</vt:i4>
      </vt:variant>
      <vt:variant>
        <vt:i4>5</vt:i4>
      </vt:variant>
      <vt:variant>
        <vt:lpwstr>http://www.governorhub.com/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Firle Office</cp:lastModifiedBy>
  <cp:revision>2</cp:revision>
  <cp:lastPrinted>2018-10-02T14:43:00Z</cp:lastPrinted>
  <dcterms:created xsi:type="dcterms:W3CDTF">2025-05-14T10:45:00Z</dcterms:created>
  <dcterms:modified xsi:type="dcterms:W3CDTF">2025-05-14T10:45:00Z</dcterms:modified>
</cp:coreProperties>
</file>